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B41E4" w14:textId="77777777" w:rsidR="00D10B09" w:rsidRPr="001A6E6B" w:rsidRDefault="00D10B09" w:rsidP="00D10B09">
      <w:pPr>
        <w:rPr>
          <w:rFonts w:cstheme="minorHAnsi"/>
          <w:b/>
          <w:bCs/>
          <w:color w:val="515A63"/>
          <w:sz w:val="28"/>
          <w:szCs w:val="28"/>
          <w:shd w:val="clear" w:color="auto" w:fill="FFFFFF"/>
        </w:rPr>
      </w:pPr>
      <w:r w:rsidRPr="001A6E6B">
        <w:rPr>
          <w:rFonts w:cstheme="minorHAnsi"/>
          <w:b/>
          <w:bCs/>
          <w:color w:val="515A63"/>
          <w:sz w:val="28"/>
          <w:szCs w:val="28"/>
          <w:shd w:val="clear" w:color="auto" w:fill="FFFFFF"/>
        </w:rPr>
        <w:t>Disclaimer</w:t>
      </w:r>
    </w:p>
    <w:p w14:paraId="342BCB7A" w14:textId="4CAE5F97" w:rsidR="00D10B09" w:rsidRPr="00BC4A0A" w:rsidRDefault="00D10B09" w:rsidP="00D10B09">
      <w:pPr>
        <w:rPr>
          <w:rFonts w:cstheme="minorHAnsi"/>
          <w:sz w:val="28"/>
          <w:szCs w:val="28"/>
        </w:rPr>
      </w:pPr>
      <w:r w:rsidRPr="00BC4A0A">
        <w:rPr>
          <w:rFonts w:cstheme="minorHAnsi"/>
          <w:sz w:val="28"/>
          <w:szCs w:val="28"/>
        </w:rPr>
        <w:t xml:space="preserve">These resources are intended to support practices with improving quality and assist in meeting the key lines of enquiry in the </w:t>
      </w:r>
      <w:r>
        <w:rPr>
          <w:rFonts w:cstheme="minorHAnsi"/>
          <w:sz w:val="28"/>
          <w:szCs w:val="28"/>
        </w:rPr>
        <w:t>caring</w:t>
      </w:r>
      <w:r w:rsidRPr="00BC4A0A">
        <w:rPr>
          <w:rFonts w:cstheme="minorHAnsi"/>
          <w:sz w:val="28"/>
          <w:szCs w:val="28"/>
        </w:rPr>
        <w:t xml:space="preserve"> key question and the CQC regulations. </w:t>
      </w:r>
      <w:r w:rsidRPr="00BC4A0A">
        <w:rPr>
          <w:rFonts w:cstheme="minorHAnsi"/>
          <w:sz w:val="28"/>
          <w:szCs w:val="28"/>
          <w:shd w:val="clear" w:color="auto" w:fill="FFFFFF"/>
        </w:rPr>
        <w:t xml:space="preserve">Using them will not, on its own, ensure you are compliant with Health and Social Care Act (2008) </w:t>
      </w:r>
      <w:r>
        <w:rPr>
          <w:rFonts w:cstheme="minorHAnsi"/>
          <w:sz w:val="28"/>
          <w:szCs w:val="28"/>
          <w:shd w:val="clear" w:color="auto" w:fill="FFFFFF"/>
        </w:rPr>
        <w:t xml:space="preserve">and </w:t>
      </w:r>
      <w:r w:rsidRPr="00D643FA">
        <w:rPr>
          <w:rFonts w:cstheme="minorHAnsi"/>
          <w:sz w:val="28"/>
          <w:szCs w:val="28"/>
          <w:shd w:val="clear" w:color="auto" w:fill="FFFFFF"/>
        </w:rPr>
        <w:t>The Health and Social Care Act 2008 (Regulated Activities) Regulations 2014</w:t>
      </w:r>
      <w:r w:rsidRPr="00BC4A0A">
        <w:rPr>
          <w:rFonts w:cstheme="minorHAnsi"/>
          <w:sz w:val="28"/>
          <w:szCs w:val="28"/>
          <w:shd w:val="clear" w:color="auto" w:fill="FFFFFF"/>
        </w:rPr>
        <w:t>. Practices should evaluate their own level of compliance with the law and seek competent advice if appropriate.</w:t>
      </w:r>
    </w:p>
    <w:p w14:paraId="0F29E6B5" w14:textId="77777777" w:rsidR="00D10B09" w:rsidRPr="00981E26" w:rsidRDefault="00D10B09" w:rsidP="00D10B09">
      <w:pPr>
        <w:rPr>
          <w:rStyle w:val="Hyperlink"/>
          <w:rFonts w:ascii="Arial" w:hAnsi="Arial" w:cs="Arial"/>
          <w:sz w:val="24"/>
          <w:szCs w:val="24"/>
        </w:rPr>
      </w:pPr>
      <w:r w:rsidRPr="00981E26">
        <w:rPr>
          <w:rFonts w:ascii="Arial" w:hAnsi="Arial" w:cs="Arial"/>
          <w:b/>
          <w:bCs/>
          <w:sz w:val="24"/>
          <w:szCs w:val="24"/>
        </w:rPr>
        <w:t>Evidence Table Sections – these questions should be reviewed in conjunction with the key lines of enquiry/prompts in the CCQ assessment framework</w:t>
      </w:r>
      <w:r w:rsidRPr="00981E26">
        <w:rPr>
          <w:rFonts w:ascii="Arial" w:hAnsi="Arial" w:cs="Arial"/>
          <w:sz w:val="24"/>
          <w:szCs w:val="24"/>
        </w:rPr>
        <w:t xml:space="preserve"> - </w:t>
      </w:r>
      <w:hyperlink r:id="rId5" w:history="1">
        <w:r w:rsidRPr="00981E26">
          <w:rPr>
            <w:rStyle w:val="Hyperlink"/>
            <w:rFonts w:ascii="Arial" w:hAnsi="Arial" w:cs="Arial"/>
            <w:sz w:val="24"/>
            <w:szCs w:val="24"/>
          </w:rPr>
          <w:t>Assessment framework: Healthcare services (cqc.org.uk)</w:t>
        </w:r>
      </w:hyperlink>
    </w:p>
    <w:p w14:paraId="558469FF" w14:textId="68F359A8" w:rsidR="00D10B09" w:rsidRPr="00D10B09" w:rsidRDefault="00D10B09" w:rsidP="00D10B09">
      <w:pPr>
        <w:rPr>
          <w:b/>
          <w:bCs/>
          <w:sz w:val="28"/>
          <w:szCs w:val="28"/>
        </w:rPr>
      </w:pPr>
      <w:r w:rsidRPr="00D10B09">
        <w:rPr>
          <w:b/>
          <w:bCs/>
          <w:sz w:val="28"/>
          <w:szCs w:val="28"/>
        </w:rPr>
        <w:t>Kindness, respect and compassion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2410"/>
        <w:gridCol w:w="7313"/>
      </w:tblGrid>
      <w:tr w:rsidR="00D10B09" w14:paraId="4EC0D868" w14:textId="77777777" w:rsidTr="00037931">
        <w:tc>
          <w:tcPr>
            <w:tcW w:w="15388" w:type="dxa"/>
            <w:gridSpan w:val="3"/>
          </w:tcPr>
          <w:p w14:paraId="53E336F9" w14:textId="38CABB9D" w:rsidR="00D10B09" w:rsidRPr="00D10B09" w:rsidRDefault="00D10B09" w:rsidP="00037931">
            <w:pPr>
              <w:rPr>
                <w:b/>
                <w:bCs/>
              </w:rPr>
            </w:pPr>
            <w:r w:rsidRPr="00D10B09">
              <w:rPr>
                <w:b/>
                <w:bCs/>
              </w:rPr>
              <w:t>Staff treated patients with kindness, respect and compassion. Feedback from patients was positive about the way staff treated people.</w:t>
            </w:r>
          </w:p>
        </w:tc>
      </w:tr>
      <w:tr w:rsidR="00D10B09" w14:paraId="5CE34914" w14:textId="77777777" w:rsidTr="00037931">
        <w:tc>
          <w:tcPr>
            <w:tcW w:w="5665" w:type="dxa"/>
          </w:tcPr>
          <w:p w14:paraId="573AE17A" w14:textId="77777777" w:rsidR="00D10B09" w:rsidRDefault="00D10B09" w:rsidP="00037931">
            <w:r w:rsidRPr="00F64DDB">
              <w:rPr>
                <w:b/>
                <w:bCs/>
              </w:rPr>
              <w:t>Evidence Table Question</w:t>
            </w:r>
            <w:r>
              <w:rPr>
                <w:b/>
                <w:bCs/>
              </w:rPr>
              <w:t>s</w:t>
            </w:r>
          </w:p>
        </w:tc>
        <w:tc>
          <w:tcPr>
            <w:tcW w:w="2410" w:type="dxa"/>
          </w:tcPr>
          <w:p w14:paraId="08E8DB0B" w14:textId="77777777" w:rsidR="00D10B09" w:rsidRDefault="00D10B09" w:rsidP="00037931">
            <w:r>
              <w:rPr>
                <w:b/>
                <w:bCs/>
              </w:rPr>
              <w:t xml:space="preserve">Link to </w:t>
            </w:r>
            <w:r w:rsidRPr="00F64DDB">
              <w:rPr>
                <w:b/>
                <w:bCs/>
              </w:rPr>
              <w:t>Key line of enquiry/prompt</w:t>
            </w:r>
            <w:r>
              <w:rPr>
                <w:b/>
                <w:bCs/>
              </w:rPr>
              <w:t xml:space="preserve"> in assessment framework</w:t>
            </w:r>
          </w:p>
        </w:tc>
        <w:tc>
          <w:tcPr>
            <w:tcW w:w="7313" w:type="dxa"/>
          </w:tcPr>
          <w:p w14:paraId="6827E0AD" w14:textId="77777777" w:rsidR="00D10B09" w:rsidRDefault="00D10B09" w:rsidP="00037931">
            <w:r w:rsidRPr="00F64DDB">
              <w:rPr>
                <w:b/>
                <w:bCs/>
              </w:rPr>
              <w:t xml:space="preserve">Examples of </w:t>
            </w:r>
            <w:r>
              <w:rPr>
                <w:b/>
                <w:bCs/>
              </w:rPr>
              <w:t>E</w:t>
            </w:r>
            <w:r w:rsidRPr="00F64DDB">
              <w:rPr>
                <w:b/>
                <w:bCs/>
              </w:rPr>
              <w:t>vidence</w:t>
            </w:r>
            <w:r>
              <w:rPr>
                <w:b/>
                <w:bCs/>
              </w:rPr>
              <w:t xml:space="preserve"> Required &amp; Links to Resources</w:t>
            </w:r>
          </w:p>
        </w:tc>
      </w:tr>
      <w:tr w:rsidR="00D10B09" w14:paraId="6AB9DAD4" w14:textId="77777777" w:rsidTr="00037931">
        <w:tc>
          <w:tcPr>
            <w:tcW w:w="5665" w:type="dxa"/>
          </w:tcPr>
          <w:p w14:paraId="16776440" w14:textId="1E182894" w:rsidR="00D10B09" w:rsidRDefault="00D10B09" w:rsidP="00037931">
            <w:r>
              <w:t>Staff understood and respected the personal, cultural, social and religious needs of patients.</w:t>
            </w:r>
          </w:p>
        </w:tc>
        <w:tc>
          <w:tcPr>
            <w:tcW w:w="2410" w:type="dxa"/>
          </w:tcPr>
          <w:p w14:paraId="796A7465" w14:textId="77777777" w:rsidR="00D10B09" w:rsidRDefault="00B27AFC" w:rsidP="00037931">
            <w:r>
              <w:t>C1.1</w:t>
            </w:r>
          </w:p>
          <w:p w14:paraId="7D4DB8DF" w14:textId="73487B51" w:rsidR="00F857BE" w:rsidRDefault="00F857BE" w:rsidP="00037931">
            <w:r>
              <w:t>C1.5</w:t>
            </w:r>
          </w:p>
        </w:tc>
        <w:tc>
          <w:tcPr>
            <w:tcW w:w="7313" w:type="dxa"/>
          </w:tcPr>
          <w:p w14:paraId="5AD11069" w14:textId="288733D2" w:rsidR="00D10B09" w:rsidRDefault="00B27AFC" w:rsidP="00B454A1">
            <w:pPr>
              <w:pStyle w:val="ListParagraph"/>
              <w:numPr>
                <w:ilvl w:val="0"/>
                <w:numId w:val="2"/>
              </w:numPr>
            </w:pPr>
            <w:r>
              <w:t>Equality &amp; Diversity Policy.</w:t>
            </w:r>
          </w:p>
          <w:p w14:paraId="7AD99DA7" w14:textId="02DC1384" w:rsidR="00B27AFC" w:rsidRDefault="00B27AFC" w:rsidP="00B454A1">
            <w:pPr>
              <w:pStyle w:val="ListParagraph"/>
              <w:numPr>
                <w:ilvl w:val="0"/>
                <w:numId w:val="2"/>
              </w:numPr>
            </w:pPr>
            <w:r>
              <w:t>Equality &amp; Diversity training records.</w:t>
            </w:r>
          </w:p>
          <w:p w14:paraId="71253C65" w14:textId="77777777" w:rsidR="005C49D8" w:rsidRDefault="00F810F7" w:rsidP="005C49D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454A1">
              <w:rPr>
                <w:rFonts w:cstheme="minorHAnsi"/>
              </w:rPr>
              <w:t>GP Patient survey results &amp; practice patient survey results</w:t>
            </w:r>
            <w:r w:rsidR="005C49D8">
              <w:rPr>
                <w:rFonts w:cstheme="minorHAnsi"/>
              </w:rPr>
              <w:t xml:space="preserve"> and subsequent action plans</w:t>
            </w:r>
            <w:r w:rsidR="005C49D8" w:rsidRPr="00B454A1">
              <w:rPr>
                <w:rFonts w:cstheme="minorHAnsi"/>
              </w:rPr>
              <w:t>.</w:t>
            </w:r>
          </w:p>
          <w:p w14:paraId="3CF01E07" w14:textId="77777777" w:rsidR="005C49D8" w:rsidRPr="00B454A1" w:rsidRDefault="005C49D8" w:rsidP="005C49D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Meeting minutes where survey results and action plan progress is monitored and discussed.</w:t>
            </w:r>
          </w:p>
          <w:p w14:paraId="334A8054" w14:textId="3FF9EC5F" w:rsidR="00F810F7" w:rsidRPr="00B454A1" w:rsidRDefault="00F810F7" w:rsidP="00B454A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454A1">
              <w:rPr>
                <w:rFonts w:cstheme="minorHAnsi"/>
              </w:rPr>
              <w:t>Comments on NHS Choices and practice response.</w:t>
            </w:r>
          </w:p>
          <w:p w14:paraId="2348A383" w14:textId="18B23869" w:rsidR="00F810F7" w:rsidRPr="00B454A1" w:rsidRDefault="00F810F7" w:rsidP="00B454A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454A1">
              <w:rPr>
                <w:rFonts w:cstheme="minorHAnsi"/>
              </w:rPr>
              <w:t>CQC GP SPA review of clinical records.</w:t>
            </w:r>
          </w:p>
          <w:p w14:paraId="574A2BF0" w14:textId="77777777" w:rsidR="00B27AFC" w:rsidRDefault="00F810F7" w:rsidP="00B454A1">
            <w:pPr>
              <w:pStyle w:val="ListParagraph"/>
              <w:numPr>
                <w:ilvl w:val="0"/>
                <w:numId w:val="2"/>
              </w:numPr>
            </w:pPr>
            <w:r>
              <w:t>CQC discussions with staff &amp; CQC staff questionnaires.</w:t>
            </w:r>
          </w:p>
          <w:p w14:paraId="29BA4A1C" w14:textId="538469E2" w:rsidR="00FB292F" w:rsidRDefault="00FB292F" w:rsidP="00B454A1">
            <w:pPr>
              <w:pStyle w:val="ListParagraph"/>
              <w:numPr>
                <w:ilvl w:val="0"/>
                <w:numId w:val="2"/>
              </w:numPr>
            </w:pPr>
            <w:r>
              <w:t xml:space="preserve">CQC Caring Mythbusters - </w:t>
            </w:r>
            <w:hyperlink r:id="rId6" w:history="1">
              <w:r>
                <w:rPr>
                  <w:rStyle w:val="Hyperlink"/>
                </w:rPr>
                <w:t>GP mythbusters | CQC Public Website</w:t>
              </w:r>
            </w:hyperlink>
          </w:p>
        </w:tc>
      </w:tr>
      <w:tr w:rsidR="00D10B09" w14:paraId="6C76B5DA" w14:textId="77777777" w:rsidTr="00037931">
        <w:tc>
          <w:tcPr>
            <w:tcW w:w="5665" w:type="dxa"/>
          </w:tcPr>
          <w:p w14:paraId="25373EA1" w14:textId="72B88C2A" w:rsidR="00D10B09" w:rsidRDefault="00D10B09" w:rsidP="00037931">
            <w:r>
              <w:t>Staff displayed understanding and a non-judgemental attitude towards patients.</w:t>
            </w:r>
          </w:p>
        </w:tc>
        <w:tc>
          <w:tcPr>
            <w:tcW w:w="2410" w:type="dxa"/>
          </w:tcPr>
          <w:p w14:paraId="3E464B89" w14:textId="77777777" w:rsidR="00D10B09" w:rsidRDefault="00B27AFC" w:rsidP="00037931">
            <w:r>
              <w:t>C1.2</w:t>
            </w:r>
          </w:p>
          <w:p w14:paraId="38A035A9" w14:textId="77777777" w:rsidR="00F857BE" w:rsidRDefault="00F857BE" w:rsidP="00037931">
            <w:r>
              <w:t>C1.3</w:t>
            </w:r>
          </w:p>
          <w:p w14:paraId="536A5BFC" w14:textId="5A8B1703" w:rsidR="00F857BE" w:rsidRDefault="00F857BE" w:rsidP="00037931">
            <w:r>
              <w:t>C1.4</w:t>
            </w:r>
          </w:p>
        </w:tc>
        <w:tc>
          <w:tcPr>
            <w:tcW w:w="7313" w:type="dxa"/>
          </w:tcPr>
          <w:p w14:paraId="2BC90467" w14:textId="77777777" w:rsidR="005C49D8" w:rsidRDefault="00B454A1" w:rsidP="005C49D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454A1">
              <w:rPr>
                <w:rFonts w:cstheme="minorHAnsi"/>
              </w:rPr>
              <w:t>GP Patient survey results &amp; practice patient survey results</w:t>
            </w:r>
            <w:r w:rsidR="005C49D8">
              <w:rPr>
                <w:rFonts w:cstheme="minorHAnsi"/>
              </w:rPr>
              <w:t xml:space="preserve"> and subsequent action plans</w:t>
            </w:r>
            <w:r w:rsidR="005C49D8" w:rsidRPr="00B454A1">
              <w:rPr>
                <w:rFonts w:cstheme="minorHAnsi"/>
              </w:rPr>
              <w:t>.</w:t>
            </w:r>
          </w:p>
          <w:p w14:paraId="2A7CB97C" w14:textId="77777777" w:rsidR="005C49D8" w:rsidRPr="00B454A1" w:rsidRDefault="005C49D8" w:rsidP="005C49D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Meeting minutes where survey results and action plan progress is monitored and discussed.</w:t>
            </w:r>
          </w:p>
          <w:p w14:paraId="780324CB" w14:textId="77777777" w:rsidR="00B454A1" w:rsidRPr="00B454A1" w:rsidRDefault="00B454A1" w:rsidP="00B454A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454A1">
              <w:rPr>
                <w:rFonts w:cstheme="minorHAnsi"/>
              </w:rPr>
              <w:t>Comments on NHS Choices and practice response.</w:t>
            </w:r>
          </w:p>
          <w:p w14:paraId="2BA76FC4" w14:textId="77777777" w:rsidR="00B454A1" w:rsidRPr="00B454A1" w:rsidRDefault="00B454A1" w:rsidP="00B454A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454A1">
              <w:rPr>
                <w:rFonts w:cstheme="minorHAnsi"/>
              </w:rPr>
              <w:t>CQC GP SPA review of clinical records.</w:t>
            </w:r>
          </w:p>
          <w:p w14:paraId="1530C257" w14:textId="77777777" w:rsidR="00D10B09" w:rsidRDefault="00B454A1" w:rsidP="00B454A1">
            <w:pPr>
              <w:pStyle w:val="ListParagraph"/>
              <w:numPr>
                <w:ilvl w:val="0"/>
                <w:numId w:val="2"/>
              </w:numPr>
            </w:pPr>
            <w:r>
              <w:t>CQC discussions with staff &amp; CQC staff questionnaires.</w:t>
            </w:r>
          </w:p>
          <w:p w14:paraId="3257C6E9" w14:textId="0A9C331D" w:rsidR="00FB292F" w:rsidRDefault="00FB292F" w:rsidP="00B454A1">
            <w:pPr>
              <w:pStyle w:val="ListParagraph"/>
              <w:numPr>
                <w:ilvl w:val="0"/>
                <w:numId w:val="2"/>
              </w:numPr>
            </w:pPr>
            <w:r>
              <w:t xml:space="preserve">CQC Caring Mythbusters - </w:t>
            </w:r>
            <w:hyperlink r:id="rId7" w:history="1">
              <w:r>
                <w:rPr>
                  <w:rStyle w:val="Hyperlink"/>
                </w:rPr>
                <w:t>GP mythbusters | CQC Public Website</w:t>
              </w:r>
            </w:hyperlink>
          </w:p>
        </w:tc>
      </w:tr>
      <w:tr w:rsidR="00D10B09" w14:paraId="74E8BE19" w14:textId="77777777" w:rsidTr="00037931">
        <w:tc>
          <w:tcPr>
            <w:tcW w:w="5665" w:type="dxa"/>
          </w:tcPr>
          <w:p w14:paraId="35182F6E" w14:textId="1094102F" w:rsidR="00D10B09" w:rsidRDefault="00D10B09" w:rsidP="00037931">
            <w:r>
              <w:t>Patients were given appropriate and timely information to cope emotionally with their care, treatment or condition.</w:t>
            </w:r>
          </w:p>
        </w:tc>
        <w:tc>
          <w:tcPr>
            <w:tcW w:w="2410" w:type="dxa"/>
          </w:tcPr>
          <w:p w14:paraId="7BE054CA" w14:textId="4AF38ECA" w:rsidR="00D10B09" w:rsidRDefault="00F857BE" w:rsidP="00037931">
            <w:r>
              <w:t>C1.6</w:t>
            </w:r>
          </w:p>
        </w:tc>
        <w:tc>
          <w:tcPr>
            <w:tcW w:w="7313" w:type="dxa"/>
          </w:tcPr>
          <w:p w14:paraId="5AD66FF2" w14:textId="77777777" w:rsidR="007B5093" w:rsidRPr="00B454A1" w:rsidRDefault="007B5093" w:rsidP="007B509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454A1">
              <w:rPr>
                <w:rFonts w:cstheme="minorHAnsi"/>
              </w:rPr>
              <w:t>CQC GP SPA review of clinical records.</w:t>
            </w:r>
          </w:p>
          <w:p w14:paraId="026A03CC" w14:textId="6F917146" w:rsidR="00D10B09" w:rsidRDefault="007B5093" w:rsidP="007B5093">
            <w:pPr>
              <w:pStyle w:val="ListParagraph"/>
              <w:numPr>
                <w:ilvl w:val="0"/>
                <w:numId w:val="2"/>
              </w:numPr>
            </w:pPr>
            <w:r>
              <w:t>CQC discussions with staff &amp; CQC staff questionnaires.</w:t>
            </w:r>
          </w:p>
          <w:p w14:paraId="6821D4AC" w14:textId="620C2DF7" w:rsidR="007B5093" w:rsidRDefault="00FB292F" w:rsidP="007B5093">
            <w:pPr>
              <w:pStyle w:val="ListParagraph"/>
              <w:numPr>
                <w:ilvl w:val="0"/>
                <w:numId w:val="2"/>
              </w:numPr>
            </w:pPr>
            <w:r>
              <w:t xml:space="preserve">CQC </w:t>
            </w:r>
            <w:r w:rsidR="00AD2265">
              <w:t>Caring</w:t>
            </w:r>
            <w:r>
              <w:t xml:space="preserve"> Mythbusters - </w:t>
            </w:r>
            <w:hyperlink r:id="rId8" w:history="1">
              <w:r>
                <w:rPr>
                  <w:rStyle w:val="Hyperlink"/>
                </w:rPr>
                <w:t>GP mythbusters | CQC Public Website</w:t>
              </w:r>
            </w:hyperlink>
          </w:p>
        </w:tc>
      </w:tr>
    </w:tbl>
    <w:p w14:paraId="21EDAEFC" w14:textId="21276D7D" w:rsidR="00D10B09" w:rsidRDefault="00D10B09" w:rsidP="00D10B0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2410"/>
        <w:gridCol w:w="7313"/>
      </w:tblGrid>
      <w:tr w:rsidR="00D10B09" w:rsidRPr="008D5AE0" w14:paraId="10DF83EF" w14:textId="77777777" w:rsidTr="00037931">
        <w:tc>
          <w:tcPr>
            <w:tcW w:w="15388" w:type="dxa"/>
            <w:gridSpan w:val="3"/>
          </w:tcPr>
          <w:p w14:paraId="27D0D09B" w14:textId="55293190" w:rsidR="00D10B09" w:rsidRPr="008D5AE0" w:rsidRDefault="00D10B09" w:rsidP="00037931">
            <w:pPr>
              <w:rPr>
                <w:b/>
                <w:bCs/>
              </w:rPr>
            </w:pPr>
            <w:r>
              <w:rPr>
                <w:b/>
                <w:bCs/>
              </w:rPr>
              <w:t>Patient Feedback</w:t>
            </w:r>
          </w:p>
        </w:tc>
      </w:tr>
      <w:tr w:rsidR="00D10B09" w14:paraId="678ADB0D" w14:textId="77777777" w:rsidTr="00037931">
        <w:tc>
          <w:tcPr>
            <w:tcW w:w="5665" w:type="dxa"/>
          </w:tcPr>
          <w:p w14:paraId="69D50F16" w14:textId="77777777" w:rsidR="00D10B09" w:rsidRDefault="00D10B09" w:rsidP="00037931">
            <w:r w:rsidRPr="00F64DDB">
              <w:rPr>
                <w:b/>
                <w:bCs/>
              </w:rPr>
              <w:t>Evidence Table Question</w:t>
            </w:r>
            <w:r>
              <w:rPr>
                <w:b/>
                <w:bCs/>
              </w:rPr>
              <w:t>s</w:t>
            </w:r>
          </w:p>
        </w:tc>
        <w:tc>
          <w:tcPr>
            <w:tcW w:w="2410" w:type="dxa"/>
          </w:tcPr>
          <w:p w14:paraId="2DB09FBA" w14:textId="77777777" w:rsidR="00D10B09" w:rsidRDefault="00D10B09" w:rsidP="00037931">
            <w:r>
              <w:rPr>
                <w:b/>
                <w:bCs/>
              </w:rPr>
              <w:t xml:space="preserve">Link to </w:t>
            </w:r>
            <w:r w:rsidRPr="00F64DDB">
              <w:rPr>
                <w:b/>
                <w:bCs/>
              </w:rPr>
              <w:t>Key line of enquiry/prompt</w:t>
            </w:r>
            <w:r>
              <w:rPr>
                <w:b/>
                <w:bCs/>
              </w:rPr>
              <w:t xml:space="preserve"> in assessment framework</w:t>
            </w:r>
          </w:p>
        </w:tc>
        <w:tc>
          <w:tcPr>
            <w:tcW w:w="7313" w:type="dxa"/>
          </w:tcPr>
          <w:p w14:paraId="6BEC6927" w14:textId="77777777" w:rsidR="00D10B09" w:rsidRDefault="00D10B09" w:rsidP="00037931">
            <w:r w:rsidRPr="00F64DDB">
              <w:rPr>
                <w:b/>
                <w:bCs/>
              </w:rPr>
              <w:t xml:space="preserve">Examples of </w:t>
            </w:r>
            <w:r>
              <w:rPr>
                <w:b/>
                <w:bCs/>
              </w:rPr>
              <w:t>E</w:t>
            </w:r>
            <w:r w:rsidRPr="00F64DDB">
              <w:rPr>
                <w:b/>
                <w:bCs/>
              </w:rPr>
              <w:t>vidence</w:t>
            </w:r>
            <w:r>
              <w:rPr>
                <w:b/>
                <w:bCs/>
              </w:rPr>
              <w:t xml:space="preserve"> Required &amp; Links to Resources</w:t>
            </w:r>
          </w:p>
        </w:tc>
      </w:tr>
      <w:tr w:rsidR="00D10B09" w14:paraId="7FA96375" w14:textId="77777777" w:rsidTr="00037931">
        <w:tc>
          <w:tcPr>
            <w:tcW w:w="5665" w:type="dxa"/>
          </w:tcPr>
          <w:p w14:paraId="5502727D" w14:textId="075BD582" w:rsidR="00D10B09" w:rsidRDefault="00D10B09" w:rsidP="00037931">
            <w:r>
              <w:t>The practice carries out its own patient survey/patient feedback exercises.</w:t>
            </w:r>
          </w:p>
        </w:tc>
        <w:tc>
          <w:tcPr>
            <w:tcW w:w="2410" w:type="dxa"/>
          </w:tcPr>
          <w:p w14:paraId="59EF0D69" w14:textId="77777777" w:rsidR="00D10B09" w:rsidRDefault="00D10B09" w:rsidP="00037931"/>
        </w:tc>
        <w:tc>
          <w:tcPr>
            <w:tcW w:w="7313" w:type="dxa"/>
          </w:tcPr>
          <w:p w14:paraId="28413327" w14:textId="70C64009" w:rsidR="005C49D8" w:rsidRDefault="005C49D8" w:rsidP="005C49D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B454A1">
              <w:rPr>
                <w:rFonts w:cstheme="minorHAnsi"/>
              </w:rPr>
              <w:t>ractice patient survey results</w:t>
            </w:r>
            <w:r>
              <w:rPr>
                <w:rFonts w:cstheme="minorHAnsi"/>
              </w:rPr>
              <w:t xml:space="preserve"> and subsequent action plans</w:t>
            </w:r>
            <w:r w:rsidRPr="00B454A1">
              <w:rPr>
                <w:rFonts w:cstheme="minorHAnsi"/>
              </w:rPr>
              <w:t>.</w:t>
            </w:r>
          </w:p>
          <w:p w14:paraId="00938000" w14:textId="3645D24C" w:rsidR="005C49D8" w:rsidRPr="00B454A1" w:rsidRDefault="005C49D8" w:rsidP="005C49D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Meeting minutes where survey results and action plan progress is monitored and discussed.</w:t>
            </w:r>
          </w:p>
          <w:p w14:paraId="42E2537B" w14:textId="46B03666" w:rsidR="00D10B09" w:rsidRDefault="005C49D8" w:rsidP="005C49D8">
            <w:pPr>
              <w:pStyle w:val="ListParagraph"/>
              <w:numPr>
                <w:ilvl w:val="0"/>
                <w:numId w:val="2"/>
              </w:numPr>
            </w:pPr>
            <w:r>
              <w:t>CQC discussions with staff &amp; CQC staff questionnaires.</w:t>
            </w:r>
          </w:p>
        </w:tc>
      </w:tr>
    </w:tbl>
    <w:p w14:paraId="6E679411" w14:textId="6ADB462B" w:rsidR="00D10B09" w:rsidRDefault="00D10B09" w:rsidP="00D10B09">
      <w:pPr>
        <w:spacing w:after="0"/>
      </w:pPr>
    </w:p>
    <w:p w14:paraId="791FDF85" w14:textId="7A4291FA" w:rsidR="00D10B09" w:rsidRPr="00D10B09" w:rsidRDefault="00D10B09" w:rsidP="00BC13EE">
      <w:pPr>
        <w:rPr>
          <w:b/>
          <w:bCs/>
          <w:sz w:val="28"/>
          <w:szCs w:val="28"/>
        </w:rPr>
      </w:pPr>
      <w:r w:rsidRPr="00D10B09">
        <w:rPr>
          <w:b/>
          <w:bCs/>
          <w:sz w:val="28"/>
          <w:szCs w:val="28"/>
        </w:rPr>
        <w:t>Involvement in decisions about care and treatment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2410"/>
        <w:gridCol w:w="7313"/>
      </w:tblGrid>
      <w:tr w:rsidR="00D10B09" w:rsidRPr="008D5AE0" w14:paraId="676FEC46" w14:textId="77777777" w:rsidTr="00037931">
        <w:tc>
          <w:tcPr>
            <w:tcW w:w="15388" w:type="dxa"/>
            <w:gridSpan w:val="3"/>
          </w:tcPr>
          <w:p w14:paraId="1AF5EC1E" w14:textId="1297CDAE" w:rsidR="00D10B09" w:rsidRPr="00D10B09" w:rsidRDefault="00D10B09" w:rsidP="00037931">
            <w:pPr>
              <w:rPr>
                <w:b/>
                <w:bCs/>
              </w:rPr>
            </w:pPr>
            <w:r w:rsidRPr="00D10B09">
              <w:rPr>
                <w:b/>
                <w:bCs/>
              </w:rPr>
              <w:t>Staff helped patients to be involved in decisions about care and treatment.</w:t>
            </w:r>
          </w:p>
        </w:tc>
      </w:tr>
      <w:tr w:rsidR="00D10B09" w14:paraId="6125DEEB" w14:textId="77777777" w:rsidTr="00037931">
        <w:tc>
          <w:tcPr>
            <w:tcW w:w="5665" w:type="dxa"/>
          </w:tcPr>
          <w:p w14:paraId="4BC839AB" w14:textId="77777777" w:rsidR="00D10B09" w:rsidRDefault="00D10B09" w:rsidP="00037931">
            <w:r w:rsidRPr="00F64DDB">
              <w:rPr>
                <w:b/>
                <w:bCs/>
              </w:rPr>
              <w:t>Evidence Table Question</w:t>
            </w:r>
            <w:r>
              <w:rPr>
                <w:b/>
                <w:bCs/>
              </w:rPr>
              <w:t>s</w:t>
            </w:r>
          </w:p>
        </w:tc>
        <w:tc>
          <w:tcPr>
            <w:tcW w:w="2410" w:type="dxa"/>
          </w:tcPr>
          <w:p w14:paraId="5B593D6C" w14:textId="77777777" w:rsidR="00D10B09" w:rsidRDefault="00D10B09" w:rsidP="00037931">
            <w:r>
              <w:rPr>
                <w:b/>
                <w:bCs/>
              </w:rPr>
              <w:t xml:space="preserve">Link to </w:t>
            </w:r>
            <w:r w:rsidRPr="00F64DDB">
              <w:rPr>
                <w:b/>
                <w:bCs/>
              </w:rPr>
              <w:t>Key line of enquiry/prompt</w:t>
            </w:r>
            <w:r>
              <w:rPr>
                <w:b/>
                <w:bCs/>
              </w:rPr>
              <w:t xml:space="preserve"> in assessment framework</w:t>
            </w:r>
          </w:p>
        </w:tc>
        <w:tc>
          <w:tcPr>
            <w:tcW w:w="7313" w:type="dxa"/>
          </w:tcPr>
          <w:p w14:paraId="09962C15" w14:textId="77777777" w:rsidR="00D10B09" w:rsidRDefault="00D10B09" w:rsidP="00037931">
            <w:r w:rsidRPr="00F64DDB">
              <w:rPr>
                <w:b/>
                <w:bCs/>
              </w:rPr>
              <w:t xml:space="preserve">Examples of </w:t>
            </w:r>
            <w:r>
              <w:rPr>
                <w:b/>
                <w:bCs/>
              </w:rPr>
              <w:t>E</w:t>
            </w:r>
            <w:r w:rsidRPr="00F64DDB">
              <w:rPr>
                <w:b/>
                <w:bCs/>
              </w:rPr>
              <w:t>vidence</w:t>
            </w:r>
            <w:r>
              <w:rPr>
                <w:b/>
                <w:bCs/>
              </w:rPr>
              <w:t xml:space="preserve"> Required &amp; Links to Resources</w:t>
            </w:r>
          </w:p>
        </w:tc>
      </w:tr>
      <w:tr w:rsidR="00D10B09" w14:paraId="46235C27" w14:textId="77777777" w:rsidTr="00037931">
        <w:tc>
          <w:tcPr>
            <w:tcW w:w="5665" w:type="dxa"/>
          </w:tcPr>
          <w:p w14:paraId="04E5CD8B" w14:textId="632A1EDC" w:rsidR="00D10B09" w:rsidRDefault="00D10B09" w:rsidP="00037931">
            <w:r>
              <w:t>Staff communicated with patients in a way that helped them to understand their care, treatment and condition, and any advice given.</w:t>
            </w:r>
          </w:p>
        </w:tc>
        <w:tc>
          <w:tcPr>
            <w:tcW w:w="2410" w:type="dxa"/>
          </w:tcPr>
          <w:p w14:paraId="3E7A3FDA" w14:textId="77777777" w:rsidR="00D10B09" w:rsidRDefault="005C49D8" w:rsidP="00037931">
            <w:r>
              <w:t>C2.1</w:t>
            </w:r>
          </w:p>
          <w:p w14:paraId="7E139CEC" w14:textId="77777777" w:rsidR="005C49D8" w:rsidRDefault="005C49D8" w:rsidP="00037931">
            <w:r>
              <w:t>C2.2</w:t>
            </w:r>
          </w:p>
          <w:p w14:paraId="7F0AFDBF" w14:textId="7223C555" w:rsidR="005C49D8" w:rsidRDefault="005C49D8" w:rsidP="00037931">
            <w:r>
              <w:t>C2.5</w:t>
            </w:r>
          </w:p>
        </w:tc>
        <w:tc>
          <w:tcPr>
            <w:tcW w:w="7313" w:type="dxa"/>
          </w:tcPr>
          <w:p w14:paraId="2BDE5D36" w14:textId="77777777" w:rsidR="00BC4E5E" w:rsidRDefault="00BC4E5E" w:rsidP="00BC4E5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454A1">
              <w:rPr>
                <w:rFonts w:cstheme="minorHAnsi"/>
              </w:rPr>
              <w:t>GP Patient survey results &amp; practice patient survey results</w:t>
            </w:r>
            <w:r>
              <w:rPr>
                <w:rFonts w:cstheme="minorHAnsi"/>
              </w:rPr>
              <w:t xml:space="preserve"> and subsequent action plans</w:t>
            </w:r>
            <w:r w:rsidRPr="00B454A1">
              <w:rPr>
                <w:rFonts w:cstheme="minorHAnsi"/>
              </w:rPr>
              <w:t>.</w:t>
            </w:r>
          </w:p>
          <w:p w14:paraId="0CAAB24B" w14:textId="77777777" w:rsidR="00BC4E5E" w:rsidRPr="00B454A1" w:rsidRDefault="00BC4E5E" w:rsidP="00BC4E5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Meeting minutes where survey results and action plan progress is monitored and discussed.</w:t>
            </w:r>
          </w:p>
          <w:p w14:paraId="78D4CD5C" w14:textId="78283AF5" w:rsidR="00BC4E5E" w:rsidRPr="00B454A1" w:rsidRDefault="00BC4E5E" w:rsidP="00BC4E5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454A1">
              <w:rPr>
                <w:rFonts w:cstheme="minorHAnsi"/>
              </w:rPr>
              <w:t>CQC GP SPA review of clinical records.</w:t>
            </w:r>
          </w:p>
          <w:p w14:paraId="16D73D02" w14:textId="77777777" w:rsidR="00BC4E5E" w:rsidRDefault="00BC4E5E" w:rsidP="00BC4E5E">
            <w:pPr>
              <w:pStyle w:val="ListParagraph"/>
              <w:numPr>
                <w:ilvl w:val="0"/>
                <w:numId w:val="2"/>
              </w:numPr>
            </w:pPr>
            <w:r>
              <w:t>CQC discussions with staff &amp; CQC staff questionnaires.</w:t>
            </w:r>
          </w:p>
          <w:p w14:paraId="63B587B0" w14:textId="5A4C2F7F" w:rsidR="00D10B09" w:rsidRDefault="00BC4E5E" w:rsidP="00BC4E5E">
            <w:pPr>
              <w:pStyle w:val="ListParagraph"/>
              <w:numPr>
                <w:ilvl w:val="0"/>
                <w:numId w:val="2"/>
              </w:numPr>
            </w:pPr>
            <w:r>
              <w:t xml:space="preserve">CQC Caring Mythbusters - </w:t>
            </w:r>
            <w:hyperlink r:id="rId9" w:history="1">
              <w:r>
                <w:rPr>
                  <w:rStyle w:val="Hyperlink"/>
                </w:rPr>
                <w:t>GP mythbusters | CQC Public Website</w:t>
              </w:r>
            </w:hyperlink>
          </w:p>
        </w:tc>
      </w:tr>
      <w:tr w:rsidR="00D10B09" w14:paraId="4C32014A" w14:textId="77777777" w:rsidTr="00037931">
        <w:tc>
          <w:tcPr>
            <w:tcW w:w="5665" w:type="dxa"/>
          </w:tcPr>
          <w:p w14:paraId="55932F9D" w14:textId="36120D32" w:rsidR="00D10B09" w:rsidRDefault="00D10B09" w:rsidP="00037931">
            <w:r>
              <w:t>Staff helped patients and their carers find further information and access community and advocacy services.</w:t>
            </w:r>
          </w:p>
        </w:tc>
        <w:tc>
          <w:tcPr>
            <w:tcW w:w="2410" w:type="dxa"/>
          </w:tcPr>
          <w:p w14:paraId="06339F8F" w14:textId="77777777" w:rsidR="00D10B09" w:rsidRDefault="005C49D8" w:rsidP="00037931">
            <w:r>
              <w:t>C2.3</w:t>
            </w:r>
          </w:p>
          <w:p w14:paraId="037EB4F3" w14:textId="77777777" w:rsidR="005C49D8" w:rsidRDefault="005C49D8" w:rsidP="00037931">
            <w:r>
              <w:t>C2.4</w:t>
            </w:r>
          </w:p>
          <w:p w14:paraId="0A968603" w14:textId="50720ED2" w:rsidR="005C49D8" w:rsidRDefault="005C49D8" w:rsidP="00037931">
            <w:r>
              <w:t>C2.6</w:t>
            </w:r>
          </w:p>
        </w:tc>
        <w:tc>
          <w:tcPr>
            <w:tcW w:w="7313" w:type="dxa"/>
          </w:tcPr>
          <w:p w14:paraId="0E697071" w14:textId="16543EEB" w:rsidR="009977A1" w:rsidRDefault="00BC4E5E" w:rsidP="00BC4E5E">
            <w:pPr>
              <w:pStyle w:val="ListParagraph"/>
              <w:numPr>
                <w:ilvl w:val="0"/>
                <w:numId w:val="3"/>
              </w:numPr>
            </w:pPr>
            <w:r>
              <w:t>Process for identifying carers.</w:t>
            </w:r>
          </w:p>
          <w:p w14:paraId="38FE77BE" w14:textId="154CF5C6" w:rsidR="00BC4E5E" w:rsidRDefault="00BC4E5E" w:rsidP="00BC4E5E">
            <w:pPr>
              <w:pStyle w:val="ListParagraph"/>
              <w:numPr>
                <w:ilvl w:val="0"/>
                <w:numId w:val="3"/>
              </w:numPr>
            </w:pPr>
            <w:r>
              <w:t>Practice carers register.</w:t>
            </w:r>
          </w:p>
          <w:p w14:paraId="1324D9D2" w14:textId="258E0F7D" w:rsidR="009977A1" w:rsidRDefault="00BC4E5E" w:rsidP="00BC4E5E">
            <w:pPr>
              <w:pStyle w:val="ListParagraph"/>
              <w:numPr>
                <w:ilvl w:val="0"/>
                <w:numId w:val="3"/>
              </w:numPr>
            </w:pPr>
            <w:r>
              <w:t>Information on support for carers &amp; support groups available on practice noticeboards and website.</w:t>
            </w:r>
          </w:p>
          <w:p w14:paraId="32AF436B" w14:textId="77777777" w:rsidR="00BC4E5E" w:rsidRDefault="00BC4E5E" w:rsidP="00BC4E5E">
            <w:pPr>
              <w:pStyle w:val="ListParagraph"/>
              <w:numPr>
                <w:ilvl w:val="0"/>
                <w:numId w:val="3"/>
              </w:numPr>
            </w:pPr>
            <w:r>
              <w:t>CQC discussions with staff &amp; CQC staff questionnaires.</w:t>
            </w:r>
          </w:p>
          <w:p w14:paraId="55F4FD89" w14:textId="08BA20C3" w:rsidR="00BC4E5E" w:rsidRDefault="00BC4E5E" w:rsidP="00BC4E5E">
            <w:pPr>
              <w:pStyle w:val="ListParagraph"/>
              <w:numPr>
                <w:ilvl w:val="0"/>
                <w:numId w:val="3"/>
              </w:numPr>
            </w:pPr>
            <w:r>
              <w:t xml:space="preserve">CQC Caring Mythbusters - </w:t>
            </w:r>
            <w:hyperlink r:id="rId10" w:history="1">
              <w:r>
                <w:rPr>
                  <w:rStyle w:val="Hyperlink"/>
                </w:rPr>
                <w:t>GP mythbusters | CQC Public Website</w:t>
              </w:r>
            </w:hyperlink>
          </w:p>
          <w:p w14:paraId="49C51C43" w14:textId="0B3F6833" w:rsidR="00FB292F" w:rsidRDefault="00A71C28" w:rsidP="00BC4E5E">
            <w:pPr>
              <w:pStyle w:val="ListParagraph"/>
              <w:numPr>
                <w:ilvl w:val="0"/>
                <w:numId w:val="3"/>
              </w:numPr>
            </w:pPr>
            <w:hyperlink r:id="rId11" w:history="1">
              <w:r w:rsidR="00FB292F">
                <w:rPr>
                  <w:rStyle w:val="Hyperlink"/>
                </w:rPr>
                <w:t>NHS England » Carers toolkit</w:t>
              </w:r>
            </w:hyperlink>
          </w:p>
          <w:p w14:paraId="4B9FCAC0" w14:textId="2C3D6129" w:rsidR="00D10B09" w:rsidRDefault="00A71C28" w:rsidP="00BC4E5E">
            <w:pPr>
              <w:pStyle w:val="ListParagraph"/>
              <w:numPr>
                <w:ilvl w:val="0"/>
                <w:numId w:val="3"/>
              </w:numPr>
            </w:pPr>
            <w:hyperlink r:id="rId12" w:history="1">
              <w:r w:rsidR="009977A1">
                <w:rPr>
                  <w:rStyle w:val="Hyperlink"/>
                </w:rPr>
                <w:t>NHS England » Supporting carers in general practice: a framework of quality markers</w:t>
              </w:r>
            </w:hyperlink>
          </w:p>
        </w:tc>
      </w:tr>
      <w:tr w:rsidR="00D10B09" w14:paraId="65C178EF" w14:textId="77777777" w:rsidTr="00037931">
        <w:tc>
          <w:tcPr>
            <w:tcW w:w="5665" w:type="dxa"/>
          </w:tcPr>
          <w:p w14:paraId="7C413A49" w14:textId="463DE323" w:rsidR="00D10B09" w:rsidRDefault="00D10B09" w:rsidP="00037931">
            <w:r>
              <w:t>Interpretation services were available for patients who did not have English as a first language.</w:t>
            </w:r>
          </w:p>
        </w:tc>
        <w:tc>
          <w:tcPr>
            <w:tcW w:w="2410" w:type="dxa"/>
          </w:tcPr>
          <w:p w14:paraId="6D65EA25" w14:textId="77777777" w:rsidR="00D10B09" w:rsidRDefault="00D10B09" w:rsidP="00037931"/>
        </w:tc>
        <w:tc>
          <w:tcPr>
            <w:tcW w:w="7313" w:type="dxa"/>
          </w:tcPr>
          <w:p w14:paraId="301D8069" w14:textId="63596C7E" w:rsidR="00BC4E5E" w:rsidRDefault="00BC4E5E" w:rsidP="00BC4E5E">
            <w:pPr>
              <w:pStyle w:val="ListParagraph"/>
              <w:numPr>
                <w:ilvl w:val="0"/>
                <w:numId w:val="3"/>
              </w:numPr>
            </w:pPr>
            <w:r>
              <w:t>Observation of information on interpretation services available in practice reception area and on website.</w:t>
            </w:r>
          </w:p>
          <w:p w14:paraId="76017DDA" w14:textId="4F1A3D53" w:rsidR="00BC4E5E" w:rsidRDefault="00BC4E5E" w:rsidP="00BC4E5E">
            <w:pPr>
              <w:pStyle w:val="ListParagraph"/>
              <w:numPr>
                <w:ilvl w:val="0"/>
                <w:numId w:val="3"/>
              </w:numPr>
            </w:pPr>
            <w:r>
              <w:t>Interpretation service available for practice staff to access for patients.</w:t>
            </w:r>
          </w:p>
          <w:p w14:paraId="79D46F5F" w14:textId="3CAF77B6" w:rsidR="00D10B09" w:rsidRDefault="00BC4E5E" w:rsidP="00BC4E5E">
            <w:pPr>
              <w:pStyle w:val="ListParagraph"/>
              <w:numPr>
                <w:ilvl w:val="0"/>
                <w:numId w:val="3"/>
              </w:numPr>
            </w:pPr>
            <w:r>
              <w:t>CQC discussions with staff &amp; CQC staff questionnaires.</w:t>
            </w:r>
          </w:p>
        </w:tc>
      </w:tr>
      <w:tr w:rsidR="00D10B09" w14:paraId="43B2194D" w14:textId="77777777" w:rsidTr="00037931">
        <w:tc>
          <w:tcPr>
            <w:tcW w:w="5665" w:type="dxa"/>
          </w:tcPr>
          <w:p w14:paraId="4BD94107" w14:textId="0160F05B" w:rsidR="00D10B09" w:rsidRDefault="00D10B09" w:rsidP="00037931">
            <w:r>
              <w:lastRenderedPageBreak/>
              <w:t>Patient information leaflets and notices were available in the patient waiting area which told patients how to access support groups and organisations.</w:t>
            </w:r>
          </w:p>
        </w:tc>
        <w:tc>
          <w:tcPr>
            <w:tcW w:w="2410" w:type="dxa"/>
          </w:tcPr>
          <w:p w14:paraId="68A0804F" w14:textId="71DB781F" w:rsidR="00D10B09" w:rsidRDefault="005C49D8" w:rsidP="00037931">
            <w:r>
              <w:t>C2.7</w:t>
            </w:r>
          </w:p>
        </w:tc>
        <w:tc>
          <w:tcPr>
            <w:tcW w:w="7313" w:type="dxa"/>
          </w:tcPr>
          <w:p w14:paraId="4A0DBDC7" w14:textId="578428C7" w:rsidR="00BC4E5E" w:rsidRDefault="00BC4E5E" w:rsidP="00BC4E5E">
            <w:pPr>
              <w:pStyle w:val="ListParagraph"/>
              <w:numPr>
                <w:ilvl w:val="0"/>
                <w:numId w:val="3"/>
              </w:numPr>
            </w:pPr>
            <w:r>
              <w:t xml:space="preserve">Observation of information available in practice waiting area and on </w:t>
            </w:r>
            <w:r w:rsidR="00A962F1">
              <w:t xml:space="preserve">the practice </w:t>
            </w:r>
            <w:r>
              <w:t>website.</w:t>
            </w:r>
          </w:p>
          <w:p w14:paraId="70673D93" w14:textId="77777777" w:rsidR="00D10B09" w:rsidRDefault="00D10B09" w:rsidP="00037931"/>
        </w:tc>
      </w:tr>
      <w:tr w:rsidR="00D10B09" w14:paraId="5505CBE8" w14:textId="77777777" w:rsidTr="00037931">
        <w:tc>
          <w:tcPr>
            <w:tcW w:w="5665" w:type="dxa"/>
          </w:tcPr>
          <w:p w14:paraId="71D6B67B" w14:textId="22480445" w:rsidR="00D10B09" w:rsidRDefault="00D10B09" w:rsidP="00037931">
            <w:r>
              <w:t>Information leaflets were available in other languages and in easy read format.</w:t>
            </w:r>
          </w:p>
        </w:tc>
        <w:tc>
          <w:tcPr>
            <w:tcW w:w="2410" w:type="dxa"/>
          </w:tcPr>
          <w:p w14:paraId="55238099" w14:textId="77777777" w:rsidR="00D10B09" w:rsidRDefault="00D10B09" w:rsidP="00037931"/>
        </w:tc>
        <w:tc>
          <w:tcPr>
            <w:tcW w:w="7313" w:type="dxa"/>
          </w:tcPr>
          <w:p w14:paraId="49E2820C" w14:textId="11A3482F" w:rsidR="00A4602C" w:rsidRDefault="00A4602C" w:rsidP="00A4602C">
            <w:pPr>
              <w:pStyle w:val="ListParagraph"/>
              <w:numPr>
                <w:ilvl w:val="0"/>
                <w:numId w:val="3"/>
              </w:numPr>
            </w:pPr>
            <w:r>
              <w:t xml:space="preserve">Observation of information </w:t>
            </w:r>
            <w:r>
              <w:t xml:space="preserve">in other languages and easy read formats </w:t>
            </w:r>
            <w:r>
              <w:t>available in</w:t>
            </w:r>
            <w:r>
              <w:t xml:space="preserve"> the</w:t>
            </w:r>
            <w:r>
              <w:t xml:space="preserve"> practice </w:t>
            </w:r>
            <w:r>
              <w:t>a</w:t>
            </w:r>
            <w:r>
              <w:t xml:space="preserve">nd on </w:t>
            </w:r>
            <w:r>
              <w:t xml:space="preserve">practice </w:t>
            </w:r>
            <w:r>
              <w:t>website.</w:t>
            </w:r>
          </w:p>
          <w:p w14:paraId="00053C8F" w14:textId="77777777" w:rsidR="00D10B09" w:rsidRDefault="00A4602C" w:rsidP="00A4602C">
            <w:pPr>
              <w:pStyle w:val="ListParagraph"/>
              <w:numPr>
                <w:ilvl w:val="0"/>
                <w:numId w:val="3"/>
              </w:numPr>
            </w:pPr>
            <w:r>
              <w:t>CQC discussions with staff &amp; CQC staff questionnaires.</w:t>
            </w:r>
          </w:p>
          <w:p w14:paraId="4E09476C" w14:textId="39CF726A" w:rsidR="00A4602C" w:rsidRDefault="00A4602C" w:rsidP="00A4602C">
            <w:pPr>
              <w:pStyle w:val="ListParagraph"/>
              <w:numPr>
                <w:ilvl w:val="0"/>
                <w:numId w:val="3"/>
              </w:numPr>
            </w:pPr>
            <w:r>
              <w:t>CQC discussions with patients and patient questionnaires.</w:t>
            </w:r>
          </w:p>
        </w:tc>
      </w:tr>
      <w:tr w:rsidR="00D10B09" w14:paraId="7C0FFBA1" w14:textId="77777777" w:rsidTr="00037931">
        <w:tc>
          <w:tcPr>
            <w:tcW w:w="5665" w:type="dxa"/>
          </w:tcPr>
          <w:p w14:paraId="3AA16C6F" w14:textId="1D275770" w:rsidR="00D10B09" w:rsidRDefault="00D10B09" w:rsidP="00037931">
            <w:r>
              <w:t>Information about support groups was available on the practice website.</w:t>
            </w:r>
          </w:p>
        </w:tc>
        <w:tc>
          <w:tcPr>
            <w:tcW w:w="2410" w:type="dxa"/>
          </w:tcPr>
          <w:p w14:paraId="5DC9B850" w14:textId="298B5D04" w:rsidR="00D10B09" w:rsidRDefault="005C49D8" w:rsidP="00037931">
            <w:r>
              <w:t>C2.7</w:t>
            </w:r>
          </w:p>
        </w:tc>
        <w:tc>
          <w:tcPr>
            <w:tcW w:w="7313" w:type="dxa"/>
          </w:tcPr>
          <w:p w14:paraId="3671D658" w14:textId="501AF844" w:rsidR="00A4602C" w:rsidRDefault="00A4602C" w:rsidP="00A4602C">
            <w:pPr>
              <w:pStyle w:val="ListParagraph"/>
              <w:numPr>
                <w:ilvl w:val="0"/>
                <w:numId w:val="3"/>
              </w:numPr>
            </w:pPr>
            <w:r>
              <w:t>Observation of information available in the practice and on practice website.</w:t>
            </w:r>
          </w:p>
          <w:p w14:paraId="4838B779" w14:textId="77777777" w:rsidR="00A4602C" w:rsidRDefault="00A4602C" w:rsidP="00A4602C">
            <w:pPr>
              <w:pStyle w:val="ListParagraph"/>
              <w:numPr>
                <w:ilvl w:val="0"/>
                <w:numId w:val="3"/>
              </w:numPr>
            </w:pPr>
            <w:r>
              <w:t>CQC discussions with staff &amp; CQC staff questionnaires.</w:t>
            </w:r>
          </w:p>
          <w:p w14:paraId="1EB0B4AC" w14:textId="42E37E10" w:rsidR="00D10B09" w:rsidRDefault="00A4602C" w:rsidP="00A4602C">
            <w:pPr>
              <w:pStyle w:val="ListParagraph"/>
              <w:numPr>
                <w:ilvl w:val="0"/>
                <w:numId w:val="3"/>
              </w:numPr>
            </w:pPr>
            <w:r>
              <w:t>CQC discussions with patients and patient questionnaires.</w:t>
            </w:r>
          </w:p>
        </w:tc>
      </w:tr>
    </w:tbl>
    <w:p w14:paraId="2F0D03E3" w14:textId="77777777" w:rsidR="00D10B09" w:rsidRDefault="00D10B09" w:rsidP="00AC73DF">
      <w:pPr>
        <w:spacing w:after="0"/>
      </w:pPr>
    </w:p>
    <w:p w14:paraId="4F408C18" w14:textId="720FE880" w:rsidR="00D10B09" w:rsidRPr="00D10B09" w:rsidRDefault="00D10B09" w:rsidP="00BC13EE">
      <w:pPr>
        <w:rPr>
          <w:b/>
          <w:bCs/>
          <w:sz w:val="28"/>
          <w:szCs w:val="28"/>
        </w:rPr>
      </w:pPr>
      <w:r w:rsidRPr="00D10B09">
        <w:rPr>
          <w:b/>
          <w:bCs/>
          <w:sz w:val="28"/>
          <w:szCs w:val="28"/>
        </w:rPr>
        <w:t>Privacy and dignity</w:t>
      </w:r>
      <w:r w:rsidRPr="00D10B09">
        <w:rPr>
          <w:b/>
          <w:bCs/>
          <w:sz w:val="28"/>
          <w:szCs w:val="28"/>
        </w:rPr>
        <w:tab/>
      </w:r>
      <w:r w:rsidRPr="00D10B09">
        <w:rPr>
          <w:b/>
          <w:bCs/>
          <w:sz w:val="28"/>
          <w:szCs w:val="28"/>
        </w:rPr>
        <w:tab/>
      </w:r>
      <w:r w:rsidRPr="00D10B09">
        <w:rPr>
          <w:b/>
          <w:bCs/>
          <w:sz w:val="28"/>
          <w:szCs w:val="28"/>
        </w:rPr>
        <w:tab/>
      </w:r>
      <w:r w:rsidRPr="00D10B09">
        <w:rPr>
          <w:b/>
          <w:bCs/>
          <w:sz w:val="28"/>
          <w:szCs w:val="28"/>
        </w:rPr>
        <w:tab/>
      </w:r>
      <w:r w:rsidRPr="00D10B09">
        <w:rPr>
          <w:b/>
          <w:bCs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2410"/>
        <w:gridCol w:w="7313"/>
      </w:tblGrid>
      <w:tr w:rsidR="00D10B09" w:rsidRPr="00D10B09" w14:paraId="38F3BC79" w14:textId="77777777" w:rsidTr="00037931">
        <w:tc>
          <w:tcPr>
            <w:tcW w:w="15388" w:type="dxa"/>
            <w:gridSpan w:val="3"/>
          </w:tcPr>
          <w:p w14:paraId="089E38BF" w14:textId="1EF66CC2" w:rsidR="00D10B09" w:rsidRPr="00D10B09" w:rsidRDefault="00D10B09" w:rsidP="00037931">
            <w:pPr>
              <w:rPr>
                <w:b/>
                <w:bCs/>
              </w:rPr>
            </w:pPr>
            <w:r w:rsidRPr="00D10B09">
              <w:rPr>
                <w:b/>
                <w:bCs/>
              </w:rPr>
              <w:t>The practice respected patients’ privacy and dignity.</w:t>
            </w:r>
          </w:p>
        </w:tc>
      </w:tr>
      <w:tr w:rsidR="00D10B09" w14:paraId="40C76BEA" w14:textId="77777777" w:rsidTr="00037931">
        <w:tc>
          <w:tcPr>
            <w:tcW w:w="5665" w:type="dxa"/>
          </w:tcPr>
          <w:p w14:paraId="79923390" w14:textId="77777777" w:rsidR="00D10B09" w:rsidRDefault="00D10B09" w:rsidP="00037931">
            <w:r w:rsidRPr="00F64DDB">
              <w:rPr>
                <w:b/>
                <w:bCs/>
              </w:rPr>
              <w:t>Evidence Table Question</w:t>
            </w:r>
            <w:r>
              <w:rPr>
                <w:b/>
                <w:bCs/>
              </w:rPr>
              <w:t>s</w:t>
            </w:r>
          </w:p>
        </w:tc>
        <w:tc>
          <w:tcPr>
            <w:tcW w:w="2410" w:type="dxa"/>
          </w:tcPr>
          <w:p w14:paraId="78D111B2" w14:textId="77777777" w:rsidR="00D10B09" w:rsidRDefault="00D10B09" w:rsidP="00037931">
            <w:r>
              <w:rPr>
                <w:b/>
                <w:bCs/>
              </w:rPr>
              <w:t xml:space="preserve">Link to </w:t>
            </w:r>
            <w:r w:rsidRPr="00F64DDB">
              <w:rPr>
                <w:b/>
                <w:bCs/>
              </w:rPr>
              <w:t>Key line of enquiry/prompt</w:t>
            </w:r>
            <w:r>
              <w:rPr>
                <w:b/>
                <w:bCs/>
              </w:rPr>
              <w:t xml:space="preserve"> in assessment framework</w:t>
            </w:r>
          </w:p>
        </w:tc>
        <w:tc>
          <w:tcPr>
            <w:tcW w:w="7313" w:type="dxa"/>
          </w:tcPr>
          <w:p w14:paraId="07A0D992" w14:textId="77777777" w:rsidR="00D10B09" w:rsidRDefault="00D10B09" w:rsidP="00037931">
            <w:r w:rsidRPr="00F64DDB">
              <w:rPr>
                <w:b/>
                <w:bCs/>
              </w:rPr>
              <w:t xml:space="preserve">Examples of </w:t>
            </w:r>
            <w:r>
              <w:rPr>
                <w:b/>
                <w:bCs/>
              </w:rPr>
              <w:t>E</w:t>
            </w:r>
            <w:r w:rsidRPr="00F64DDB">
              <w:rPr>
                <w:b/>
                <w:bCs/>
              </w:rPr>
              <w:t>vidence</w:t>
            </w:r>
            <w:r>
              <w:rPr>
                <w:b/>
                <w:bCs/>
              </w:rPr>
              <w:t xml:space="preserve"> Required &amp; Links to Resources</w:t>
            </w:r>
          </w:p>
        </w:tc>
      </w:tr>
      <w:tr w:rsidR="00D10B09" w14:paraId="65307B45" w14:textId="77777777" w:rsidTr="00037931">
        <w:tc>
          <w:tcPr>
            <w:tcW w:w="5665" w:type="dxa"/>
          </w:tcPr>
          <w:p w14:paraId="3D83BA7D" w14:textId="14383CC7" w:rsidR="00D10B09" w:rsidRDefault="00D10B09" w:rsidP="00037931">
            <w:r>
              <w:t>A private room was available if patients were distressed or wanted to discuss sensitive issues.</w:t>
            </w:r>
          </w:p>
        </w:tc>
        <w:tc>
          <w:tcPr>
            <w:tcW w:w="2410" w:type="dxa"/>
          </w:tcPr>
          <w:p w14:paraId="02C4F72E" w14:textId="77777777" w:rsidR="00D10B09" w:rsidRDefault="005C49D8" w:rsidP="00037931">
            <w:r>
              <w:t>C3.1</w:t>
            </w:r>
          </w:p>
          <w:p w14:paraId="01961605" w14:textId="59FC7512" w:rsidR="005C49D8" w:rsidRDefault="005C49D8" w:rsidP="00037931">
            <w:r>
              <w:t>C3.2</w:t>
            </w:r>
          </w:p>
        </w:tc>
        <w:tc>
          <w:tcPr>
            <w:tcW w:w="7313" w:type="dxa"/>
          </w:tcPr>
          <w:p w14:paraId="1ACA2CD1" w14:textId="0A344F58" w:rsidR="00A71C28" w:rsidRDefault="00A71C28" w:rsidP="00A71C28">
            <w:pPr>
              <w:pStyle w:val="ListParagraph"/>
              <w:numPr>
                <w:ilvl w:val="0"/>
                <w:numId w:val="3"/>
              </w:numPr>
            </w:pPr>
            <w:r>
              <w:t xml:space="preserve">Observation of </w:t>
            </w:r>
            <w:r>
              <w:t>reception area and if notice is available to inform patients a room is available to discuss things in private if needed</w:t>
            </w:r>
            <w:r>
              <w:t>.</w:t>
            </w:r>
          </w:p>
          <w:p w14:paraId="2CB5A912" w14:textId="79DAD3F9" w:rsidR="00A71C28" w:rsidRDefault="00A71C28" w:rsidP="00A71C28">
            <w:pPr>
              <w:pStyle w:val="ListParagraph"/>
              <w:numPr>
                <w:ilvl w:val="0"/>
                <w:numId w:val="3"/>
              </w:numPr>
            </w:pPr>
            <w:r>
              <w:t>CQC discussions with staff &amp; CQC staff questionnaires.</w:t>
            </w:r>
          </w:p>
          <w:p w14:paraId="75D771AA" w14:textId="5023DC9F" w:rsidR="00D10B09" w:rsidRDefault="00A71C28" w:rsidP="00A71C28">
            <w:pPr>
              <w:pStyle w:val="ListParagraph"/>
              <w:numPr>
                <w:ilvl w:val="0"/>
                <w:numId w:val="3"/>
              </w:numPr>
            </w:pPr>
            <w:r>
              <w:t>CQC discussions with patients and patient questionnaires.</w:t>
            </w:r>
          </w:p>
        </w:tc>
      </w:tr>
      <w:tr w:rsidR="00D10B09" w14:paraId="2230C97A" w14:textId="77777777" w:rsidTr="00037931">
        <w:tc>
          <w:tcPr>
            <w:tcW w:w="5665" w:type="dxa"/>
          </w:tcPr>
          <w:p w14:paraId="0FF5FCD5" w14:textId="1E16528E" w:rsidR="00D10B09" w:rsidRDefault="00D10B09" w:rsidP="00037931">
            <w:r>
              <w:t>There were arrangements to ensure confidentiality at the reception desk.</w:t>
            </w:r>
          </w:p>
        </w:tc>
        <w:tc>
          <w:tcPr>
            <w:tcW w:w="2410" w:type="dxa"/>
          </w:tcPr>
          <w:p w14:paraId="1421B6FE" w14:textId="77777777" w:rsidR="00D10B09" w:rsidRDefault="005C49D8" w:rsidP="00037931">
            <w:r>
              <w:t>C3.2</w:t>
            </w:r>
          </w:p>
          <w:p w14:paraId="6AF12708" w14:textId="6EF87825" w:rsidR="005C49D8" w:rsidRDefault="005C49D8" w:rsidP="00037931">
            <w:r>
              <w:t>C3.3</w:t>
            </w:r>
          </w:p>
        </w:tc>
        <w:tc>
          <w:tcPr>
            <w:tcW w:w="7313" w:type="dxa"/>
          </w:tcPr>
          <w:p w14:paraId="59612605" w14:textId="02E7DD8D" w:rsidR="00A71C28" w:rsidRDefault="00A71C28" w:rsidP="00A71C28">
            <w:pPr>
              <w:pStyle w:val="ListParagraph"/>
              <w:numPr>
                <w:ilvl w:val="0"/>
                <w:numId w:val="3"/>
              </w:numPr>
            </w:pPr>
            <w:r>
              <w:t xml:space="preserve">Observation of reception area and </w:t>
            </w:r>
            <w:r>
              <w:t>interactions between reception staff and patients, in person and on the telephone if applicable.</w:t>
            </w:r>
          </w:p>
          <w:p w14:paraId="7EFC72BE" w14:textId="77777777" w:rsidR="00A71C28" w:rsidRDefault="00A71C28" w:rsidP="00A71C28">
            <w:pPr>
              <w:pStyle w:val="ListParagraph"/>
              <w:numPr>
                <w:ilvl w:val="0"/>
                <w:numId w:val="3"/>
              </w:numPr>
            </w:pPr>
            <w:r>
              <w:t>CQC discussions with staff &amp; CQC staff questionnaires.</w:t>
            </w:r>
          </w:p>
          <w:p w14:paraId="40734BD4" w14:textId="35CAD690" w:rsidR="00D10B09" w:rsidRDefault="00A71C28" w:rsidP="00A71C28">
            <w:pPr>
              <w:pStyle w:val="ListParagraph"/>
              <w:numPr>
                <w:ilvl w:val="0"/>
                <w:numId w:val="3"/>
              </w:numPr>
            </w:pPr>
            <w:r>
              <w:t>CQC discussions with patients and patient questionnaires.</w:t>
            </w:r>
          </w:p>
        </w:tc>
      </w:tr>
    </w:tbl>
    <w:p w14:paraId="55861F27" w14:textId="77777777" w:rsidR="00F45320" w:rsidRDefault="00F45320" w:rsidP="00BC13EE"/>
    <w:p w14:paraId="5ACF2C91" w14:textId="77777777" w:rsidR="00BC13EE" w:rsidRDefault="00BC13EE"/>
    <w:sectPr w:rsidR="00BC13EE" w:rsidSect="00BC13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32B33"/>
    <w:multiLevelType w:val="hybridMultilevel"/>
    <w:tmpl w:val="D894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40B94"/>
    <w:multiLevelType w:val="hybridMultilevel"/>
    <w:tmpl w:val="6F8CC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237B8"/>
    <w:multiLevelType w:val="hybridMultilevel"/>
    <w:tmpl w:val="832A7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EE"/>
    <w:rsid w:val="00120C8E"/>
    <w:rsid w:val="0021041B"/>
    <w:rsid w:val="00304B9F"/>
    <w:rsid w:val="005C49D8"/>
    <w:rsid w:val="007B5093"/>
    <w:rsid w:val="009977A1"/>
    <w:rsid w:val="00A4602C"/>
    <w:rsid w:val="00A71C28"/>
    <w:rsid w:val="00A962F1"/>
    <w:rsid w:val="00AC73DF"/>
    <w:rsid w:val="00AD2265"/>
    <w:rsid w:val="00B27AFC"/>
    <w:rsid w:val="00B454A1"/>
    <w:rsid w:val="00BB00A0"/>
    <w:rsid w:val="00BC13EE"/>
    <w:rsid w:val="00BC4E5E"/>
    <w:rsid w:val="00D10B09"/>
    <w:rsid w:val="00F45320"/>
    <w:rsid w:val="00F810F7"/>
    <w:rsid w:val="00F857BE"/>
    <w:rsid w:val="00FB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F01BE"/>
  <w15:chartTrackingRefBased/>
  <w15:docId w15:val="{8C197809-3CC3-4280-B895-ECBFDCF6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10B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1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qc.org.uk/guidance-providers/gps/gp-mythbuste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qc.org.uk/guidance-providers/gps/gp-mythbusters" TargetMode="External"/><Relationship Id="rId12" Type="http://schemas.openxmlformats.org/officeDocument/2006/relationships/hyperlink" Target="https://www.england.nhs.uk/publication/supporting-carers-in-general-practice-a-framework-of-quality-mark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qc.org.uk/guidance-providers/gps/gp-mythbusters" TargetMode="External"/><Relationship Id="rId11" Type="http://schemas.openxmlformats.org/officeDocument/2006/relationships/hyperlink" Target="https://www.england.nhs.uk/commitment-to-carers/carers-toolkit/" TargetMode="External"/><Relationship Id="rId5" Type="http://schemas.openxmlformats.org/officeDocument/2006/relationships/hyperlink" Target="https://www.cqc.org.uk/sites/default/files/20180628%20Healthcare%20services%20KLOEs%20prompts%20and%20characteristics%20FINAL.pdf" TargetMode="External"/><Relationship Id="rId10" Type="http://schemas.openxmlformats.org/officeDocument/2006/relationships/hyperlink" Target="https://www.cqc.org.uk/guidance-providers/gps/gp-mythbust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qc.org.uk/guidance-providers/gps/gp-mythbuste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Michelle (NHS TEES VALLEY CCG)</dc:creator>
  <cp:keywords/>
  <dc:description/>
  <cp:lastModifiedBy>MARTIN, Michelle (NHS TEES VALLEY CCG)</cp:lastModifiedBy>
  <cp:revision>13</cp:revision>
  <dcterms:created xsi:type="dcterms:W3CDTF">2022-01-12T09:10:00Z</dcterms:created>
  <dcterms:modified xsi:type="dcterms:W3CDTF">2022-06-08T11:14:00Z</dcterms:modified>
</cp:coreProperties>
</file>