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82" w:rsidRDefault="00DA0882" w:rsidP="00CF69FD">
      <w:pPr>
        <w:jc w:val="both"/>
      </w:pPr>
    </w:p>
    <w:p w:rsidR="00D0144C" w:rsidRDefault="00D0144C"/>
    <w:p w:rsidR="00E56AFC" w:rsidRDefault="00E56AFC"/>
    <w:p w:rsidR="007A4AD1" w:rsidRDefault="007A4AD1"/>
    <w:p w:rsidR="007A4AD1" w:rsidRDefault="007A4AD1"/>
    <w:p w:rsidR="007A4AD1" w:rsidRDefault="007A4AD1"/>
    <w:p w:rsidR="00CC4143" w:rsidRDefault="00CC4143"/>
    <w:p w:rsidR="0064321F" w:rsidRDefault="0064321F"/>
    <w:p w:rsidR="00CC4143" w:rsidRPr="00E0683F" w:rsidRDefault="00D0144C">
      <w:pPr>
        <w:rPr>
          <w:b/>
          <w:sz w:val="28"/>
          <w:szCs w:val="28"/>
          <w:u w:val="single"/>
        </w:rPr>
      </w:pPr>
      <w:r w:rsidRPr="00E0683F">
        <w:rPr>
          <w:b/>
          <w:sz w:val="28"/>
          <w:szCs w:val="28"/>
          <w:u w:val="single"/>
        </w:rPr>
        <w:t>What We Can Offer You and Your Team</w:t>
      </w:r>
    </w:p>
    <w:p w:rsidR="00E0683F" w:rsidRDefault="00E0683F" w:rsidP="00E0683F">
      <w:pPr>
        <w:rPr>
          <w:sz w:val="20"/>
          <w:szCs w:val="20"/>
        </w:rPr>
      </w:pPr>
      <w:r w:rsidRPr="007A4AD1">
        <w:rPr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705D6D9" wp14:editId="56101028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20002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1" name="Picture 1" descr="Image result for occupational healt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ccupational healt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BDB" w:rsidRPr="007A4AD1" w:rsidRDefault="00657CC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Working in general practice</w:t>
      </w:r>
      <w:r w:rsidR="00BD2B66" w:rsidRPr="007A4AD1">
        <w:rPr>
          <w:sz w:val="20"/>
          <w:szCs w:val="20"/>
        </w:rPr>
        <w:t xml:space="preserve"> </w:t>
      </w:r>
      <w:r w:rsidR="00EA6D1F" w:rsidRPr="007A4AD1">
        <w:rPr>
          <w:sz w:val="20"/>
          <w:szCs w:val="20"/>
        </w:rPr>
        <w:t>can be very stressful, as you will be aware. S</w:t>
      </w:r>
      <w:r w:rsidR="00E56AFC" w:rsidRPr="007A4AD1">
        <w:rPr>
          <w:sz w:val="20"/>
          <w:szCs w:val="20"/>
        </w:rPr>
        <w:t xml:space="preserve">ickness absence and work related stress can be a major obstacle in achieving </w:t>
      </w:r>
      <w:r w:rsidR="00E61D6A">
        <w:rPr>
          <w:sz w:val="20"/>
          <w:szCs w:val="20"/>
        </w:rPr>
        <w:t>success.</w:t>
      </w:r>
      <w:r w:rsidR="00E0683F">
        <w:rPr>
          <w:sz w:val="20"/>
          <w:szCs w:val="20"/>
        </w:rPr>
        <w:t xml:space="preserve"> </w:t>
      </w:r>
      <w:r w:rsidR="00B46BDB" w:rsidRPr="007A4AD1">
        <w:rPr>
          <w:sz w:val="20"/>
          <w:szCs w:val="20"/>
        </w:rPr>
        <w:t xml:space="preserve">Evidence suggests that </w:t>
      </w:r>
      <w:r w:rsidR="00E61D6A">
        <w:rPr>
          <w:sz w:val="20"/>
          <w:szCs w:val="20"/>
        </w:rPr>
        <w:t>employers</w:t>
      </w:r>
      <w:r w:rsidR="00B46BDB" w:rsidRPr="007A4AD1">
        <w:rPr>
          <w:sz w:val="20"/>
          <w:szCs w:val="20"/>
        </w:rPr>
        <w:t xml:space="preserve"> who choose to invest in occupational health services have healthier employees, lower sickness absence rates and reduced work related stress</w:t>
      </w:r>
      <w:r w:rsidR="00E61D6A">
        <w:rPr>
          <w:sz w:val="20"/>
          <w:szCs w:val="20"/>
        </w:rPr>
        <w:t>,</w:t>
      </w:r>
      <w:r w:rsidR="00B46BDB" w:rsidRPr="007A4AD1">
        <w:rPr>
          <w:sz w:val="20"/>
          <w:szCs w:val="20"/>
        </w:rPr>
        <w:t xml:space="preserve"> leading to increased </w:t>
      </w:r>
      <w:r w:rsidR="00E61D6A">
        <w:rPr>
          <w:sz w:val="20"/>
          <w:szCs w:val="20"/>
        </w:rPr>
        <w:t>activity</w:t>
      </w:r>
      <w:r w:rsidR="00B46BDB" w:rsidRPr="007A4AD1">
        <w:rPr>
          <w:sz w:val="20"/>
          <w:szCs w:val="20"/>
        </w:rPr>
        <w:t>.</w:t>
      </w:r>
    </w:p>
    <w:p w:rsidR="00B46BDB" w:rsidRDefault="00B46BDB" w:rsidP="00E56AFC">
      <w:pPr>
        <w:jc w:val="left"/>
        <w:rPr>
          <w:sz w:val="20"/>
          <w:szCs w:val="20"/>
        </w:rPr>
      </w:pPr>
    </w:p>
    <w:p w:rsidR="00E0683F" w:rsidRDefault="00E0683F" w:rsidP="00E56AFC">
      <w:pPr>
        <w:jc w:val="left"/>
        <w:rPr>
          <w:sz w:val="20"/>
          <w:szCs w:val="20"/>
        </w:rPr>
      </w:pPr>
    </w:p>
    <w:p w:rsidR="00B46BDB" w:rsidRDefault="00B46BDB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 xml:space="preserve">Here at </w:t>
      </w:r>
      <w:proofErr w:type="spellStart"/>
      <w:r w:rsidRPr="007A4AD1">
        <w:rPr>
          <w:sz w:val="20"/>
          <w:szCs w:val="20"/>
        </w:rPr>
        <w:t>Ironopolis</w:t>
      </w:r>
      <w:proofErr w:type="spellEnd"/>
      <w:r w:rsidRPr="007A4AD1">
        <w:rPr>
          <w:sz w:val="20"/>
          <w:szCs w:val="20"/>
        </w:rPr>
        <w:t xml:space="preserve"> Medical Group, we </w:t>
      </w:r>
      <w:r w:rsidR="00693E43">
        <w:rPr>
          <w:sz w:val="20"/>
          <w:szCs w:val="20"/>
        </w:rPr>
        <w:t xml:space="preserve">are specialists in </w:t>
      </w:r>
      <w:r w:rsidR="00E048CA">
        <w:rPr>
          <w:sz w:val="20"/>
          <w:szCs w:val="20"/>
        </w:rPr>
        <w:t>General Practice Occupational Health</w:t>
      </w:r>
      <w:r w:rsidR="00693E43">
        <w:rPr>
          <w:sz w:val="20"/>
          <w:szCs w:val="20"/>
        </w:rPr>
        <w:t xml:space="preserve"> and can tailor services specifically to </w:t>
      </w:r>
      <w:r w:rsidR="00E0683F">
        <w:rPr>
          <w:sz w:val="20"/>
          <w:szCs w:val="20"/>
        </w:rPr>
        <w:t xml:space="preserve">meet </w:t>
      </w:r>
      <w:r w:rsidR="00693E43">
        <w:rPr>
          <w:sz w:val="20"/>
          <w:szCs w:val="20"/>
        </w:rPr>
        <w:t xml:space="preserve">your needs.  We </w:t>
      </w:r>
      <w:r w:rsidRPr="007A4AD1">
        <w:rPr>
          <w:sz w:val="20"/>
          <w:szCs w:val="20"/>
        </w:rPr>
        <w:t xml:space="preserve">can work together with your </w:t>
      </w:r>
      <w:r w:rsidR="00EA6D1F" w:rsidRPr="007A4AD1">
        <w:rPr>
          <w:sz w:val="20"/>
          <w:szCs w:val="20"/>
        </w:rPr>
        <w:t>practice</w:t>
      </w:r>
      <w:r w:rsidRPr="007A4AD1">
        <w:rPr>
          <w:sz w:val="20"/>
          <w:szCs w:val="20"/>
        </w:rPr>
        <w:t xml:space="preserve"> to provide a bespoke package of Occupational Health.  Whether </w:t>
      </w:r>
      <w:r w:rsidR="00BD2B66" w:rsidRPr="007A4AD1">
        <w:rPr>
          <w:sz w:val="20"/>
          <w:szCs w:val="20"/>
        </w:rPr>
        <w:t xml:space="preserve">it be </w:t>
      </w:r>
      <w:r w:rsidRPr="007A4AD1">
        <w:rPr>
          <w:sz w:val="20"/>
          <w:szCs w:val="20"/>
        </w:rPr>
        <w:t>pre-employment medical</w:t>
      </w:r>
      <w:r w:rsidR="00BD2B66" w:rsidRPr="007A4AD1">
        <w:rPr>
          <w:sz w:val="20"/>
          <w:szCs w:val="20"/>
        </w:rPr>
        <w:t>s</w:t>
      </w:r>
      <w:r w:rsidR="00E61D6A">
        <w:rPr>
          <w:sz w:val="20"/>
          <w:szCs w:val="20"/>
        </w:rPr>
        <w:t xml:space="preserve">, or management referrals, </w:t>
      </w:r>
      <w:r w:rsidRPr="007A4AD1">
        <w:rPr>
          <w:sz w:val="20"/>
          <w:szCs w:val="20"/>
        </w:rPr>
        <w:t>we are here to help.</w:t>
      </w:r>
      <w:r w:rsidR="00E048CA">
        <w:rPr>
          <w:sz w:val="20"/>
          <w:szCs w:val="20"/>
        </w:rPr>
        <w:t xml:space="preserve"> This service is available to all employees, whether clinical or administration staff.</w:t>
      </w:r>
    </w:p>
    <w:p w:rsidR="00E048CA" w:rsidRDefault="00E048CA" w:rsidP="00E56AFC">
      <w:pPr>
        <w:jc w:val="left"/>
        <w:rPr>
          <w:sz w:val="20"/>
          <w:szCs w:val="20"/>
        </w:rPr>
      </w:pPr>
    </w:p>
    <w:p w:rsidR="00E048CA" w:rsidRPr="007A4AD1" w:rsidRDefault="00CF69FD" w:rsidP="00E56AFC">
      <w:pPr>
        <w:jc w:val="left"/>
        <w:rPr>
          <w:sz w:val="20"/>
          <w:szCs w:val="20"/>
        </w:rPr>
      </w:pPr>
      <w:r>
        <w:rPr>
          <w:sz w:val="20"/>
          <w:szCs w:val="20"/>
        </w:rPr>
        <w:t>All our GPs</w:t>
      </w:r>
      <w:r w:rsidR="00E048CA">
        <w:rPr>
          <w:sz w:val="20"/>
          <w:szCs w:val="20"/>
        </w:rPr>
        <w:t xml:space="preserve"> and employees are </w:t>
      </w:r>
      <w:r>
        <w:rPr>
          <w:sz w:val="20"/>
          <w:szCs w:val="20"/>
        </w:rPr>
        <w:t>bound by strict confidentiality</w:t>
      </w:r>
      <w:r w:rsidR="002B45AA">
        <w:rPr>
          <w:sz w:val="20"/>
          <w:szCs w:val="20"/>
        </w:rPr>
        <w:t>, s</w:t>
      </w:r>
      <w:r>
        <w:rPr>
          <w:sz w:val="20"/>
          <w:szCs w:val="20"/>
        </w:rPr>
        <w:t>o</w:t>
      </w:r>
      <w:r w:rsidR="00E048CA">
        <w:rPr>
          <w:sz w:val="20"/>
          <w:szCs w:val="20"/>
        </w:rPr>
        <w:t xml:space="preserve"> your staff can feel confident in the knowledge that their personal information will not be divulged to any third party.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</w:p>
    <w:p w:rsidR="00BD2B66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 xml:space="preserve">Employee health assessments are the cornerstone of how an Occupational Health organisation can help your </w:t>
      </w:r>
      <w:r w:rsidR="00657CC6" w:rsidRPr="007A4AD1">
        <w:rPr>
          <w:sz w:val="20"/>
          <w:szCs w:val="20"/>
        </w:rPr>
        <w:t>practice</w:t>
      </w:r>
      <w:r w:rsidRPr="007A4AD1">
        <w:rPr>
          <w:sz w:val="20"/>
          <w:szCs w:val="20"/>
        </w:rPr>
        <w:t>.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2B45AA">
        <w:rPr>
          <w:b/>
          <w:sz w:val="20"/>
          <w:szCs w:val="20"/>
        </w:rPr>
        <w:t>Listed below are just some of the services we provide</w:t>
      </w:r>
      <w:r w:rsidRPr="007A4AD1">
        <w:rPr>
          <w:sz w:val="20"/>
          <w:szCs w:val="20"/>
        </w:rPr>
        <w:t xml:space="preserve">. </w:t>
      </w:r>
      <w:r w:rsidR="00E0683F">
        <w:rPr>
          <w:sz w:val="20"/>
          <w:szCs w:val="20"/>
        </w:rPr>
        <w:t xml:space="preserve">  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Pre-employment Screening</w:t>
      </w:r>
      <w:bookmarkStart w:id="0" w:name="_GoBack"/>
      <w:bookmarkEnd w:id="0"/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Pre-</w:t>
      </w:r>
      <w:r w:rsidR="00E0683F">
        <w:rPr>
          <w:sz w:val="20"/>
          <w:szCs w:val="20"/>
        </w:rPr>
        <w:t>e</w:t>
      </w:r>
      <w:r w:rsidRPr="007A4AD1">
        <w:rPr>
          <w:sz w:val="20"/>
          <w:szCs w:val="20"/>
        </w:rPr>
        <w:t>mployment Medicals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Management Referrals</w:t>
      </w:r>
    </w:p>
    <w:p w:rsidR="00BD2B66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Workplace Assessments</w:t>
      </w:r>
    </w:p>
    <w:p w:rsidR="00693E43" w:rsidRPr="007A4AD1" w:rsidRDefault="00693E43" w:rsidP="00E56AFC">
      <w:pPr>
        <w:jc w:val="left"/>
        <w:rPr>
          <w:sz w:val="20"/>
          <w:szCs w:val="20"/>
        </w:rPr>
      </w:pPr>
      <w:r>
        <w:rPr>
          <w:sz w:val="20"/>
          <w:szCs w:val="20"/>
        </w:rPr>
        <w:t>Return to Works Assessments, including support to return to work sooner and phased return support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GP/Nurse/HCA Immunisation Programme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Health/Well Being Education/Promotion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Audiometry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Counselling</w:t>
      </w:r>
    </w:p>
    <w:p w:rsidR="00BD2B66" w:rsidRPr="007A4AD1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Vaccination Clinics</w:t>
      </w:r>
    </w:p>
    <w:p w:rsidR="00BD2B66" w:rsidRDefault="00BD2B66" w:rsidP="00E56AFC">
      <w:pPr>
        <w:jc w:val="left"/>
        <w:rPr>
          <w:sz w:val="20"/>
          <w:szCs w:val="20"/>
        </w:rPr>
      </w:pPr>
      <w:r w:rsidRPr="007A4AD1">
        <w:rPr>
          <w:sz w:val="20"/>
          <w:szCs w:val="20"/>
        </w:rPr>
        <w:t>Travel Vaccination Advice</w:t>
      </w:r>
    </w:p>
    <w:p w:rsidR="00CF69FD" w:rsidRDefault="00CF69FD" w:rsidP="00E56AFC">
      <w:pPr>
        <w:jc w:val="left"/>
        <w:rPr>
          <w:sz w:val="20"/>
          <w:szCs w:val="20"/>
        </w:rPr>
      </w:pPr>
      <w:r>
        <w:rPr>
          <w:sz w:val="20"/>
          <w:szCs w:val="20"/>
        </w:rPr>
        <w:t>Dealing with Needle Stick Injuries</w:t>
      </w:r>
    </w:p>
    <w:p w:rsidR="00693E43" w:rsidRPr="007A4AD1" w:rsidRDefault="00693E43" w:rsidP="00E56AFC">
      <w:pPr>
        <w:jc w:val="left"/>
        <w:rPr>
          <w:sz w:val="20"/>
          <w:szCs w:val="20"/>
        </w:rPr>
      </w:pPr>
    </w:p>
    <w:p w:rsidR="007A4AD1" w:rsidRPr="002B45AA" w:rsidRDefault="00DA52F0" w:rsidP="00E56AFC">
      <w:pPr>
        <w:jc w:val="left"/>
        <w:rPr>
          <w:b/>
          <w:color w:val="0070C0"/>
          <w:sz w:val="20"/>
          <w:szCs w:val="20"/>
        </w:rPr>
      </w:pPr>
      <w:r w:rsidRPr="007A4AD1">
        <w:rPr>
          <w:sz w:val="20"/>
          <w:szCs w:val="20"/>
        </w:rPr>
        <w:t>Please contact us i</w:t>
      </w:r>
      <w:r w:rsidR="00E91EEE" w:rsidRPr="007A4AD1">
        <w:rPr>
          <w:sz w:val="20"/>
          <w:szCs w:val="20"/>
        </w:rPr>
        <w:t>f</w:t>
      </w:r>
      <w:r w:rsidRPr="007A4AD1">
        <w:rPr>
          <w:sz w:val="20"/>
          <w:szCs w:val="20"/>
        </w:rPr>
        <w:t xml:space="preserve"> you require something which isn’t immediately obvious, and we will do our very best to accommodate your needs.</w:t>
      </w:r>
      <w:r w:rsidR="00E0683F">
        <w:rPr>
          <w:sz w:val="20"/>
          <w:szCs w:val="20"/>
        </w:rPr>
        <w:t xml:space="preserve">  More information can be found on our website </w:t>
      </w:r>
      <w:r w:rsidR="002B45AA">
        <w:rPr>
          <w:sz w:val="20"/>
          <w:szCs w:val="20"/>
        </w:rPr>
        <w:t>at</w:t>
      </w:r>
      <w:r w:rsidR="00E0683F">
        <w:rPr>
          <w:sz w:val="20"/>
          <w:szCs w:val="20"/>
        </w:rPr>
        <w:t xml:space="preserve"> </w:t>
      </w:r>
      <w:r w:rsidR="00E0683F" w:rsidRPr="002B45AA">
        <w:rPr>
          <w:b/>
          <w:color w:val="0070C0"/>
          <w:sz w:val="20"/>
          <w:szCs w:val="20"/>
        </w:rPr>
        <w:t>www.ironopolismedicalgroup.co.uk</w:t>
      </w:r>
    </w:p>
    <w:p w:rsidR="0064321F" w:rsidRPr="002B45AA" w:rsidRDefault="0064321F" w:rsidP="00E56AFC">
      <w:pPr>
        <w:jc w:val="left"/>
        <w:rPr>
          <w:b/>
          <w:sz w:val="18"/>
          <w:szCs w:val="18"/>
        </w:rPr>
      </w:pPr>
    </w:p>
    <w:p w:rsidR="00DA52F0" w:rsidRPr="00E0683F" w:rsidRDefault="00D0144C" w:rsidP="00D0144C">
      <w:pPr>
        <w:rPr>
          <w:b/>
          <w:sz w:val="28"/>
          <w:szCs w:val="28"/>
          <w:u w:val="single"/>
        </w:rPr>
      </w:pPr>
      <w:r w:rsidRPr="00E0683F">
        <w:rPr>
          <w:b/>
          <w:sz w:val="28"/>
          <w:szCs w:val="28"/>
          <w:u w:val="single"/>
        </w:rPr>
        <w:t>What We Can Offer Your Patients</w:t>
      </w:r>
    </w:p>
    <w:p w:rsidR="00D0144C" w:rsidRPr="007A4AD1" w:rsidRDefault="00D0144C" w:rsidP="00D0144C">
      <w:pPr>
        <w:rPr>
          <w:sz w:val="18"/>
          <w:szCs w:val="18"/>
        </w:rPr>
      </w:pPr>
    </w:p>
    <w:p w:rsidR="0064321F" w:rsidRDefault="0064321F" w:rsidP="00452B4F">
      <w:pPr>
        <w:jc w:val="left"/>
        <w:rPr>
          <w:sz w:val="20"/>
          <w:szCs w:val="20"/>
        </w:rPr>
      </w:pPr>
      <w:r w:rsidRPr="007A4AD1">
        <w:rPr>
          <w:rFonts w:ascii="Arial" w:hAnsi="Arial" w:cs="Arial"/>
          <w:noProof/>
          <w:color w:val="0000FF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76DB1E9B" wp14:editId="4F320B88">
            <wp:simplePos x="0" y="0"/>
            <wp:positionH relativeFrom="column">
              <wp:posOffset>4038600</wp:posOffset>
            </wp:positionH>
            <wp:positionV relativeFrom="paragraph">
              <wp:posOffset>109855</wp:posOffset>
            </wp:positionV>
            <wp:extent cx="25241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18" y="21304"/>
                <wp:lineTo x="21518" y="0"/>
                <wp:lineTo x="0" y="0"/>
              </wp:wrapPolygon>
            </wp:wrapTight>
            <wp:docPr id="6" name="Picture 6" descr="Image result for occupational health medical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occupational health medical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21F" w:rsidRDefault="0064321F" w:rsidP="00452B4F">
      <w:pPr>
        <w:jc w:val="left"/>
        <w:rPr>
          <w:sz w:val="20"/>
          <w:szCs w:val="20"/>
        </w:rPr>
      </w:pPr>
    </w:p>
    <w:p w:rsidR="00E04A9F" w:rsidRPr="007A4AD1" w:rsidRDefault="00E61D6A" w:rsidP="00452B4F">
      <w:pPr>
        <w:jc w:val="left"/>
        <w:rPr>
          <w:sz w:val="20"/>
          <w:szCs w:val="20"/>
        </w:rPr>
      </w:pPr>
      <w:r>
        <w:rPr>
          <w:sz w:val="20"/>
          <w:szCs w:val="20"/>
        </w:rPr>
        <w:t>In addition to the above, w</w:t>
      </w:r>
      <w:r w:rsidR="007A4AD1" w:rsidRPr="007A4AD1">
        <w:rPr>
          <w:sz w:val="20"/>
          <w:szCs w:val="20"/>
        </w:rPr>
        <w:t xml:space="preserve">e also provide a wide range of employment </w:t>
      </w:r>
      <w:r w:rsidR="00693E43">
        <w:rPr>
          <w:sz w:val="20"/>
          <w:szCs w:val="20"/>
        </w:rPr>
        <w:t>medicals</w:t>
      </w:r>
      <w:r w:rsidR="00E0683F">
        <w:rPr>
          <w:sz w:val="20"/>
          <w:szCs w:val="20"/>
        </w:rPr>
        <w:t>, including fit to work certificates for the construction industry.</w:t>
      </w:r>
      <w:r w:rsidR="00693E43">
        <w:rPr>
          <w:sz w:val="20"/>
          <w:szCs w:val="20"/>
        </w:rPr>
        <w:t xml:space="preserve"> We provide</w:t>
      </w:r>
      <w:r w:rsidR="007A4AD1" w:rsidRPr="007A4AD1">
        <w:rPr>
          <w:sz w:val="20"/>
          <w:szCs w:val="20"/>
        </w:rPr>
        <w:t xml:space="preserve"> screening to clients within the Oil and Gas Industry the Shipping Industry etc.  S</w:t>
      </w:r>
      <w:r w:rsidR="00E0683F">
        <w:rPr>
          <w:sz w:val="20"/>
          <w:szCs w:val="20"/>
        </w:rPr>
        <w:t xml:space="preserve">hould you receive any enquiries </w:t>
      </w:r>
      <w:r w:rsidR="007A4AD1" w:rsidRPr="007A4AD1">
        <w:rPr>
          <w:sz w:val="20"/>
          <w:szCs w:val="20"/>
        </w:rPr>
        <w:t>regarding these medicals please feel free to refer them to our website</w:t>
      </w:r>
      <w:r w:rsidR="00E0683F">
        <w:rPr>
          <w:sz w:val="20"/>
          <w:szCs w:val="20"/>
        </w:rPr>
        <w:t xml:space="preserve"> </w:t>
      </w:r>
      <w:r w:rsidR="002B45AA">
        <w:rPr>
          <w:sz w:val="20"/>
          <w:szCs w:val="20"/>
        </w:rPr>
        <w:t>at</w:t>
      </w:r>
      <w:r w:rsidR="00E0683F">
        <w:rPr>
          <w:sz w:val="20"/>
          <w:szCs w:val="20"/>
        </w:rPr>
        <w:t xml:space="preserve"> </w:t>
      </w:r>
      <w:r w:rsidR="00E0683F" w:rsidRPr="002B45AA">
        <w:rPr>
          <w:b/>
          <w:color w:val="0070C0"/>
          <w:sz w:val="20"/>
          <w:szCs w:val="20"/>
        </w:rPr>
        <w:t>www.ironopolismedicalgroup.co.uk</w:t>
      </w:r>
      <w:r w:rsidR="00E0683F">
        <w:rPr>
          <w:sz w:val="20"/>
          <w:szCs w:val="20"/>
        </w:rPr>
        <w:t>,</w:t>
      </w:r>
      <w:r w:rsidR="007A4AD1" w:rsidRPr="007A4AD1">
        <w:rPr>
          <w:sz w:val="20"/>
          <w:szCs w:val="20"/>
        </w:rPr>
        <w:t xml:space="preserve"> or</w:t>
      </w:r>
      <w:r w:rsidR="00E0683F">
        <w:rPr>
          <w:sz w:val="20"/>
          <w:szCs w:val="20"/>
        </w:rPr>
        <w:t xml:space="preserve"> </w:t>
      </w:r>
      <w:r w:rsidR="004A01ED">
        <w:rPr>
          <w:sz w:val="20"/>
          <w:szCs w:val="20"/>
        </w:rPr>
        <w:t>they can directly</w:t>
      </w:r>
      <w:r w:rsidR="007A4AD1" w:rsidRPr="007A4AD1">
        <w:rPr>
          <w:sz w:val="20"/>
          <w:szCs w:val="20"/>
        </w:rPr>
        <w:t xml:space="preserve"> </w:t>
      </w:r>
      <w:r w:rsidR="00E0683F">
        <w:rPr>
          <w:sz w:val="20"/>
          <w:szCs w:val="20"/>
        </w:rPr>
        <w:t>contact our</w:t>
      </w:r>
      <w:r w:rsidR="00CF69FD">
        <w:rPr>
          <w:sz w:val="20"/>
          <w:szCs w:val="20"/>
        </w:rPr>
        <w:t xml:space="preserve"> Occupational Health Administrator, Sue Burns on</w:t>
      </w:r>
      <w:r w:rsidR="007A4AD1" w:rsidRPr="007A4AD1">
        <w:rPr>
          <w:sz w:val="20"/>
          <w:szCs w:val="20"/>
        </w:rPr>
        <w:t xml:space="preserve"> </w:t>
      </w:r>
      <w:r w:rsidR="007A4AD1" w:rsidRPr="002B45AA">
        <w:rPr>
          <w:b/>
          <w:sz w:val="20"/>
          <w:szCs w:val="20"/>
        </w:rPr>
        <w:t>01642 811298</w:t>
      </w:r>
      <w:r w:rsidR="004A01ED">
        <w:rPr>
          <w:sz w:val="20"/>
          <w:szCs w:val="20"/>
        </w:rPr>
        <w:t>.</w:t>
      </w:r>
    </w:p>
    <w:p w:rsidR="00BD2B66" w:rsidRDefault="00BD2B66" w:rsidP="00E56AFC">
      <w:pPr>
        <w:jc w:val="left"/>
        <w:rPr>
          <w:sz w:val="24"/>
          <w:szCs w:val="24"/>
        </w:rPr>
      </w:pPr>
    </w:p>
    <w:p w:rsidR="00BD2B66" w:rsidRDefault="00BD2B66" w:rsidP="00E56AFC">
      <w:pPr>
        <w:jc w:val="left"/>
        <w:rPr>
          <w:sz w:val="24"/>
          <w:szCs w:val="24"/>
        </w:rPr>
      </w:pPr>
    </w:p>
    <w:p w:rsidR="00BD2B66" w:rsidRDefault="00BD2B66" w:rsidP="00E56AFC">
      <w:pPr>
        <w:jc w:val="left"/>
        <w:rPr>
          <w:sz w:val="24"/>
          <w:szCs w:val="24"/>
        </w:rPr>
      </w:pPr>
    </w:p>
    <w:sectPr w:rsidR="00BD2B66" w:rsidSect="00E56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FC"/>
    <w:rsid w:val="002752CA"/>
    <w:rsid w:val="002B45AA"/>
    <w:rsid w:val="00452B4F"/>
    <w:rsid w:val="004A01ED"/>
    <w:rsid w:val="0064321F"/>
    <w:rsid w:val="00657CC6"/>
    <w:rsid w:val="00693E43"/>
    <w:rsid w:val="006E2C92"/>
    <w:rsid w:val="007A4AD1"/>
    <w:rsid w:val="00B46BDB"/>
    <w:rsid w:val="00B649B0"/>
    <w:rsid w:val="00BD2B66"/>
    <w:rsid w:val="00CC4143"/>
    <w:rsid w:val="00CF69FD"/>
    <w:rsid w:val="00D0144C"/>
    <w:rsid w:val="00DA0882"/>
    <w:rsid w:val="00DA52F0"/>
    <w:rsid w:val="00E048CA"/>
    <w:rsid w:val="00E04A9F"/>
    <w:rsid w:val="00E0683F"/>
    <w:rsid w:val="00E56AFC"/>
    <w:rsid w:val="00E61D6A"/>
    <w:rsid w:val="00E91EEE"/>
    <w:rsid w:val="00E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source=images&amp;cd=&amp;cad=rja&amp;uact=8&amp;ved=2ahUKEwiPu5PZs4_bAhUJ7xQKHXLiDNgQjRx6BAgBEAU&amp;url=http://greenmeadowsmedical.com.au/occupational-health-port-macquarie/&amp;psig=AOvVaw1vvZMqSAUYAOemUu2Ykxsv&amp;ust=15267377022249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source=images&amp;cd=&amp;cad=rja&amp;uact=8&amp;ved=2ahUKEwi-i6SlqI_bAhXMXhQKHe1jCrkQjRx6BAgBEAU&amp;url=http://innovhse.com/occupational-health/&amp;psig=AOvVaw15MOFQeFynJ3fPiMON0KAa&amp;ust=15267346959271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 Susan3</dc:creator>
  <cp:lastModifiedBy>Burns Susan3</cp:lastModifiedBy>
  <cp:revision>19</cp:revision>
  <cp:lastPrinted>2018-10-23T13:47:00Z</cp:lastPrinted>
  <dcterms:created xsi:type="dcterms:W3CDTF">2018-05-18T12:54:00Z</dcterms:created>
  <dcterms:modified xsi:type="dcterms:W3CDTF">2018-10-23T13:51:00Z</dcterms:modified>
</cp:coreProperties>
</file>