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6341" w14:textId="54D88F7D" w:rsidR="00374397" w:rsidRPr="001A6E6B" w:rsidRDefault="00A54105" w:rsidP="00374397">
      <w:pPr>
        <w:rPr>
          <w:rFonts w:cstheme="minorHAnsi"/>
          <w:b/>
          <w:bCs/>
          <w:color w:val="515A63"/>
          <w:sz w:val="28"/>
          <w:szCs w:val="28"/>
          <w:shd w:val="clear" w:color="auto" w:fill="FFFFFF"/>
        </w:rPr>
      </w:pPr>
      <w:bookmarkStart w:id="0" w:name="_Hlk95727317"/>
      <w:r>
        <w:rPr>
          <w:rFonts w:cstheme="minorHAnsi"/>
          <w:b/>
          <w:bCs/>
          <w:color w:val="515A63"/>
          <w:sz w:val="28"/>
          <w:szCs w:val="28"/>
          <w:shd w:val="clear" w:color="auto" w:fill="FFFFFF"/>
        </w:rPr>
        <w:t>D</w:t>
      </w:r>
      <w:r w:rsidR="00374397" w:rsidRPr="001A6E6B">
        <w:rPr>
          <w:rFonts w:cstheme="minorHAnsi"/>
          <w:b/>
          <w:bCs/>
          <w:color w:val="515A63"/>
          <w:sz w:val="28"/>
          <w:szCs w:val="28"/>
          <w:shd w:val="clear" w:color="auto" w:fill="FFFFFF"/>
        </w:rPr>
        <w:t>isclaimer</w:t>
      </w:r>
    </w:p>
    <w:p w14:paraId="2A59780D" w14:textId="2C7C5C8A" w:rsidR="00374397" w:rsidRPr="00BC4A0A" w:rsidRDefault="00374397" w:rsidP="00374397">
      <w:pPr>
        <w:rPr>
          <w:rFonts w:cstheme="minorHAnsi"/>
          <w:sz w:val="28"/>
          <w:szCs w:val="28"/>
        </w:rPr>
      </w:pPr>
      <w:r w:rsidRPr="00BC4A0A">
        <w:rPr>
          <w:rFonts w:cstheme="minorHAnsi"/>
          <w:sz w:val="28"/>
          <w:szCs w:val="28"/>
        </w:rPr>
        <w:t xml:space="preserve">These resources are intended to support practices with improving quality and assist in meeting the key lines of enquiry in the </w:t>
      </w:r>
      <w:r>
        <w:rPr>
          <w:rFonts w:cstheme="minorHAnsi"/>
          <w:sz w:val="28"/>
          <w:szCs w:val="28"/>
        </w:rPr>
        <w:t>responsive</w:t>
      </w:r>
      <w:r w:rsidRPr="00BC4A0A">
        <w:rPr>
          <w:rFonts w:cstheme="minorHAnsi"/>
          <w:sz w:val="28"/>
          <w:szCs w:val="28"/>
        </w:rPr>
        <w:t xml:space="preserve"> key question and the CQC regulations. </w:t>
      </w:r>
      <w:r w:rsidRPr="00BC4A0A">
        <w:rPr>
          <w:rFonts w:cstheme="minorHAnsi"/>
          <w:sz w:val="28"/>
          <w:szCs w:val="28"/>
          <w:shd w:val="clear" w:color="auto" w:fill="FFFFFF"/>
        </w:rPr>
        <w:t xml:space="preserve">Using them will not, on its own, ensure you are compliant with Health and Social Care Act (2008) </w:t>
      </w:r>
      <w:r>
        <w:rPr>
          <w:rFonts w:cstheme="minorHAnsi"/>
          <w:sz w:val="28"/>
          <w:szCs w:val="28"/>
          <w:shd w:val="clear" w:color="auto" w:fill="FFFFFF"/>
        </w:rPr>
        <w:t xml:space="preserve">and </w:t>
      </w:r>
      <w:r w:rsidRPr="00D643FA">
        <w:rPr>
          <w:rFonts w:cstheme="minorHAnsi"/>
          <w:sz w:val="28"/>
          <w:szCs w:val="28"/>
          <w:shd w:val="clear" w:color="auto" w:fill="FFFFFF"/>
        </w:rPr>
        <w:t>The Health and Social Care Act 2008 (Regulated Activities) Regulations 2014</w:t>
      </w:r>
      <w:r w:rsidRPr="00BC4A0A">
        <w:rPr>
          <w:rFonts w:cstheme="minorHAnsi"/>
          <w:sz w:val="28"/>
          <w:szCs w:val="28"/>
          <w:shd w:val="clear" w:color="auto" w:fill="FFFFFF"/>
        </w:rPr>
        <w:t>. Practices should evaluate their own level of compliance with the law and seek competent advice if appropriate.</w:t>
      </w:r>
    </w:p>
    <w:p w14:paraId="455F507B" w14:textId="77777777" w:rsidR="00374397" w:rsidRPr="00981E26" w:rsidRDefault="00374397" w:rsidP="00374397">
      <w:pPr>
        <w:rPr>
          <w:rStyle w:val="Hyperlink"/>
          <w:rFonts w:ascii="Arial" w:hAnsi="Arial" w:cs="Arial"/>
          <w:sz w:val="24"/>
          <w:szCs w:val="24"/>
        </w:rPr>
      </w:pPr>
      <w:r w:rsidRPr="00981E26">
        <w:rPr>
          <w:rFonts w:ascii="Arial" w:hAnsi="Arial" w:cs="Arial"/>
          <w:b/>
          <w:bCs/>
          <w:sz w:val="24"/>
          <w:szCs w:val="24"/>
        </w:rPr>
        <w:t>Evidence Table Sections – these questions should be reviewed in conjunction with the key lines of enquiry/prompts in the CCQ assessment framework</w:t>
      </w:r>
      <w:r w:rsidRPr="00981E26">
        <w:rPr>
          <w:rFonts w:ascii="Arial" w:hAnsi="Arial" w:cs="Arial"/>
          <w:sz w:val="24"/>
          <w:szCs w:val="24"/>
        </w:rPr>
        <w:t xml:space="preserve"> - </w:t>
      </w:r>
      <w:hyperlink r:id="rId5" w:history="1">
        <w:r w:rsidRPr="00981E26">
          <w:rPr>
            <w:rStyle w:val="Hyperlink"/>
            <w:rFonts w:ascii="Arial" w:hAnsi="Arial" w:cs="Arial"/>
            <w:sz w:val="24"/>
            <w:szCs w:val="24"/>
          </w:rPr>
          <w:t>Assessment framework: Healthcare services (cqc.org.uk)</w:t>
        </w:r>
      </w:hyperlink>
    </w:p>
    <w:p w14:paraId="749F6824" w14:textId="47177C97" w:rsidR="00374397" w:rsidRPr="00374397" w:rsidRDefault="00374397" w:rsidP="00374397">
      <w:pPr>
        <w:rPr>
          <w:b/>
          <w:bCs/>
          <w:sz w:val="28"/>
          <w:szCs w:val="28"/>
        </w:rPr>
      </w:pPr>
      <w:r w:rsidRPr="00374397">
        <w:rPr>
          <w:b/>
          <w:bCs/>
          <w:sz w:val="28"/>
          <w:szCs w:val="28"/>
        </w:rPr>
        <w:t>Responding to and meeting people’s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410"/>
        <w:gridCol w:w="7313"/>
      </w:tblGrid>
      <w:tr w:rsidR="00374397" w14:paraId="059DCA5B" w14:textId="77777777" w:rsidTr="00037931">
        <w:tc>
          <w:tcPr>
            <w:tcW w:w="15388" w:type="dxa"/>
            <w:gridSpan w:val="3"/>
          </w:tcPr>
          <w:p w14:paraId="226B335A" w14:textId="29F8066B" w:rsidR="00374397" w:rsidRPr="00374397" w:rsidRDefault="00374397" w:rsidP="00037931">
            <w:pPr>
              <w:rPr>
                <w:b/>
                <w:bCs/>
              </w:rPr>
            </w:pPr>
            <w:r w:rsidRPr="00374397">
              <w:rPr>
                <w:b/>
                <w:bCs/>
              </w:rPr>
              <w:t>The practice organised and delivered services to meet patients’ needs.</w:t>
            </w:r>
          </w:p>
        </w:tc>
      </w:tr>
      <w:tr w:rsidR="00374397" w14:paraId="6720EC15" w14:textId="77777777" w:rsidTr="00037931">
        <w:tc>
          <w:tcPr>
            <w:tcW w:w="5665" w:type="dxa"/>
          </w:tcPr>
          <w:p w14:paraId="1168C38D" w14:textId="77777777" w:rsidR="00374397" w:rsidRDefault="00374397" w:rsidP="00037931">
            <w:r w:rsidRPr="00F64DDB">
              <w:rPr>
                <w:b/>
                <w:bCs/>
              </w:rPr>
              <w:t>Evidence Table Question</w:t>
            </w:r>
            <w:r>
              <w:rPr>
                <w:b/>
                <w:bCs/>
              </w:rPr>
              <w:t>s</w:t>
            </w:r>
          </w:p>
        </w:tc>
        <w:tc>
          <w:tcPr>
            <w:tcW w:w="2410" w:type="dxa"/>
          </w:tcPr>
          <w:p w14:paraId="7B22BE6D" w14:textId="77777777" w:rsidR="00374397" w:rsidRDefault="00374397" w:rsidP="00037931">
            <w:r>
              <w:rPr>
                <w:b/>
                <w:bCs/>
              </w:rPr>
              <w:t xml:space="preserve">Link to </w:t>
            </w:r>
            <w:r w:rsidRPr="00F64DDB">
              <w:rPr>
                <w:b/>
                <w:bCs/>
              </w:rPr>
              <w:t>Key line of enquiry/prompt</w:t>
            </w:r>
            <w:r>
              <w:rPr>
                <w:b/>
                <w:bCs/>
              </w:rPr>
              <w:t xml:space="preserve"> in assessment framework</w:t>
            </w:r>
          </w:p>
        </w:tc>
        <w:tc>
          <w:tcPr>
            <w:tcW w:w="7313" w:type="dxa"/>
          </w:tcPr>
          <w:p w14:paraId="7EF0635D" w14:textId="77777777" w:rsidR="00374397" w:rsidRDefault="00374397" w:rsidP="00037931">
            <w:r w:rsidRPr="00F64DDB">
              <w:rPr>
                <w:b/>
                <w:bCs/>
              </w:rPr>
              <w:t xml:space="preserve">Examples of </w:t>
            </w:r>
            <w:r>
              <w:rPr>
                <w:b/>
                <w:bCs/>
              </w:rPr>
              <w:t>E</w:t>
            </w:r>
            <w:r w:rsidRPr="00F64DDB">
              <w:rPr>
                <w:b/>
                <w:bCs/>
              </w:rPr>
              <w:t>vidence</w:t>
            </w:r>
            <w:r>
              <w:rPr>
                <w:b/>
                <w:bCs/>
              </w:rPr>
              <w:t xml:space="preserve"> Required &amp; Links to Resources</w:t>
            </w:r>
          </w:p>
        </w:tc>
      </w:tr>
      <w:tr w:rsidR="00374397" w14:paraId="6B4BF348" w14:textId="77777777" w:rsidTr="00037931">
        <w:tc>
          <w:tcPr>
            <w:tcW w:w="5665" w:type="dxa"/>
          </w:tcPr>
          <w:p w14:paraId="750DC0DC" w14:textId="2DAE46A9" w:rsidR="00374397" w:rsidRDefault="00374397" w:rsidP="00037931">
            <w:r>
              <w:t>The practice understood the needs of its local population and had developed services in response to those needs.</w:t>
            </w:r>
          </w:p>
        </w:tc>
        <w:tc>
          <w:tcPr>
            <w:tcW w:w="2410" w:type="dxa"/>
          </w:tcPr>
          <w:p w14:paraId="341FBF14" w14:textId="77777777" w:rsidR="00374397" w:rsidRDefault="00FC3B64" w:rsidP="00037931">
            <w:r>
              <w:t>R1.1</w:t>
            </w:r>
          </w:p>
          <w:p w14:paraId="2BACB2F5" w14:textId="2874F175" w:rsidR="00FC3B64" w:rsidRDefault="00FC3B64" w:rsidP="00037931">
            <w:r>
              <w:t>R1.2</w:t>
            </w:r>
          </w:p>
        </w:tc>
        <w:tc>
          <w:tcPr>
            <w:tcW w:w="7313" w:type="dxa"/>
          </w:tcPr>
          <w:p w14:paraId="783F3112" w14:textId="4FE11A2F" w:rsidR="00FF69F0" w:rsidRDefault="00FF69F0" w:rsidP="00B56317">
            <w:pPr>
              <w:pStyle w:val="ListParagraph"/>
              <w:numPr>
                <w:ilvl w:val="0"/>
                <w:numId w:val="1"/>
              </w:numPr>
            </w:pPr>
            <w:r>
              <w:t xml:space="preserve">Procedure for home visits and those requiring urgent appointments. </w:t>
            </w:r>
          </w:p>
          <w:p w14:paraId="3A2257EB" w14:textId="77777777" w:rsidR="00FF69F0" w:rsidRDefault="00FF69F0" w:rsidP="00FF69F0">
            <w:pPr>
              <w:pStyle w:val="ListParagraph"/>
              <w:numPr>
                <w:ilvl w:val="0"/>
                <w:numId w:val="1"/>
              </w:numPr>
            </w:pPr>
            <w:r>
              <w:t xml:space="preserve">Process for responding to the needs of older patients, those with enhanced needs and complex medical issues.  </w:t>
            </w:r>
          </w:p>
          <w:p w14:paraId="651BE1DF" w14:textId="2D3352DA" w:rsidR="00FF69F0" w:rsidRDefault="00BC3563" w:rsidP="00B56317">
            <w:pPr>
              <w:pStyle w:val="ListParagraph"/>
              <w:numPr>
                <w:ilvl w:val="0"/>
                <w:numId w:val="1"/>
              </w:numPr>
            </w:pPr>
            <w:r>
              <w:t>Practice registers for people who are vulnerable</w:t>
            </w:r>
            <w:r w:rsidR="00FF69F0">
              <w:t xml:space="preserve"> </w:t>
            </w:r>
            <w:r>
              <w:t>i.e those living with a learning disability/veterans/homeless</w:t>
            </w:r>
            <w:r w:rsidR="00D14595">
              <w:t>/asylum seekers &amp; refugees</w:t>
            </w:r>
            <w:r>
              <w:t>.</w:t>
            </w:r>
          </w:p>
          <w:p w14:paraId="1F4F46EA" w14:textId="67FA3E2F" w:rsidR="00D14595" w:rsidRDefault="007874DB" w:rsidP="00B56317">
            <w:pPr>
              <w:pStyle w:val="ListParagraph"/>
              <w:numPr>
                <w:ilvl w:val="0"/>
                <w:numId w:val="1"/>
              </w:numPr>
            </w:pPr>
            <w:hyperlink r:id="rId6" w:history="1">
              <w:r w:rsidR="00D14595">
                <w:rPr>
                  <w:rStyle w:val="Hyperlink"/>
                </w:rPr>
                <w:t>GP mythbuster 90: Population groups | CQC Public Website</w:t>
              </w:r>
            </w:hyperlink>
          </w:p>
          <w:p w14:paraId="06306DFD" w14:textId="1B8F16AC" w:rsidR="00D14595" w:rsidRDefault="007874DB" w:rsidP="00B56317">
            <w:pPr>
              <w:pStyle w:val="ListParagraph"/>
              <w:numPr>
                <w:ilvl w:val="0"/>
                <w:numId w:val="1"/>
              </w:numPr>
            </w:pPr>
            <w:hyperlink r:id="rId7" w:history="1">
              <w:r w:rsidR="00D14595">
                <w:rPr>
                  <w:rStyle w:val="Hyperlink"/>
                </w:rPr>
                <w:t>GP mythbuster 93: Caring for veterans and their families | CQC Public Website</w:t>
              </w:r>
            </w:hyperlink>
          </w:p>
          <w:p w14:paraId="5B657B55" w14:textId="4CED2B09" w:rsidR="00D14595" w:rsidRDefault="007874DB" w:rsidP="00B56317">
            <w:pPr>
              <w:pStyle w:val="ListParagraph"/>
              <w:numPr>
                <w:ilvl w:val="0"/>
                <w:numId w:val="1"/>
              </w:numPr>
            </w:pPr>
            <w:hyperlink r:id="rId8" w:history="1">
              <w:r w:rsidR="00D14595">
                <w:rPr>
                  <w:rStyle w:val="Hyperlink"/>
                </w:rPr>
                <w:t>GP mythbuster 53: Care of people with a learning disability in GP practices | CQC Public Website</w:t>
              </w:r>
            </w:hyperlink>
          </w:p>
          <w:p w14:paraId="4198E930" w14:textId="24FE3D34" w:rsidR="00D14595" w:rsidRDefault="007874DB" w:rsidP="00B56317">
            <w:pPr>
              <w:pStyle w:val="ListParagraph"/>
              <w:numPr>
                <w:ilvl w:val="0"/>
                <w:numId w:val="1"/>
              </w:numPr>
            </w:pPr>
            <w:hyperlink r:id="rId9" w:history="1">
              <w:r w:rsidR="00D14595">
                <w:rPr>
                  <w:rStyle w:val="Hyperlink"/>
                </w:rPr>
                <w:t>GP mythbuster 42: Caring for people with dementia | CQC Public Website</w:t>
              </w:r>
            </w:hyperlink>
          </w:p>
          <w:p w14:paraId="487EBCB9" w14:textId="0A3AF189" w:rsidR="00D14595" w:rsidRDefault="007874DB" w:rsidP="00B56317">
            <w:pPr>
              <w:pStyle w:val="ListParagraph"/>
              <w:numPr>
                <w:ilvl w:val="0"/>
                <w:numId w:val="1"/>
              </w:numPr>
            </w:pPr>
            <w:hyperlink r:id="rId10" w:history="1">
              <w:r w:rsidR="00D14595">
                <w:rPr>
                  <w:rStyle w:val="Hyperlink"/>
                </w:rPr>
                <w:t>GP mythbuster 36: Registration and treatment of asylum seekers, refugees and other migrants | CQC Public Website</w:t>
              </w:r>
            </w:hyperlink>
          </w:p>
          <w:p w14:paraId="1250BAD6" w14:textId="02E63958" w:rsidR="00DC1D83" w:rsidRDefault="007874DB" w:rsidP="00B56317">
            <w:pPr>
              <w:pStyle w:val="ListParagraph"/>
              <w:numPr>
                <w:ilvl w:val="0"/>
                <w:numId w:val="1"/>
              </w:numPr>
            </w:pPr>
            <w:hyperlink r:id="rId11" w:history="1">
              <w:r w:rsidR="00DC1D83">
                <w:rPr>
                  <w:rStyle w:val="Hyperlink"/>
                </w:rPr>
                <w:t>GP mythbuster 29: Looking after homeless patients in General Practice | CQC Public Website</w:t>
              </w:r>
            </w:hyperlink>
          </w:p>
          <w:p w14:paraId="0EC2151A" w14:textId="77777777" w:rsidR="00451355" w:rsidRDefault="00451355" w:rsidP="0045135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GP Patient survey results &amp; practice patient survey results</w:t>
            </w:r>
            <w:r>
              <w:rPr>
                <w:rFonts w:cstheme="minorHAnsi"/>
              </w:rPr>
              <w:t xml:space="preserve"> and subsequent action plans</w:t>
            </w:r>
            <w:r w:rsidRPr="00B454A1">
              <w:rPr>
                <w:rFonts w:cstheme="minorHAnsi"/>
              </w:rPr>
              <w:t>.</w:t>
            </w:r>
          </w:p>
          <w:p w14:paraId="46B04828" w14:textId="77777777" w:rsidR="00451355" w:rsidRPr="00B454A1" w:rsidRDefault="00451355" w:rsidP="0045135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Meeting minutes where survey results and action plan progress is monitored and discussed.</w:t>
            </w:r>
          </w:p>
          <w:p w14:paraId="73CD0BD5" w14:textId="7BC6DC82" w:rsidR="00451355" w:rsidRDefault="00451355" w:rsidP="0045135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Comments on NHS Choices and practice response.</w:t>
            </w:r>
          </w:p>
          <w:p w14:paraId="1706693B" w14:textId="6BFFB59A" w:rsidR="00A16D6B" w:rsidRPr="00B454A1" w:rsidRDefault="00A16D6B" w:rsidP="0045135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lastRenderedPageBreak/>
              <w:t>CQC discussions with patients and patient questionnaires.</w:t>
            </w:r>
          </w:p>
          <w:p w14:paraId="5348E16E" w14:textId="7D65C109" w:rsidR="00B56317" w:rsidRDefault="00B56317" w:rsidP="00B56317">
            <w:pPr>
              <w:pStyle w:val="ListParagraph"/>
              <w:numPr>
                <w:ilvl w:val="0"/>
                <w:numId w:val="1"/>
              </w:numPr>
            </w:pPr>
            <w:r>
              <w:t>CQC discussions with staff &amp; CQC staff questionnaires.</w:t>
            </w:r>
          </w:p>
          <w:p w14:paraId="1B5A1E5F" w14:textId="77777777" w:rsidR="00374397" w:rsidRDefault="00374397" w:rsidP="00037931"/>
        </w:tc>
      </w:tr>
      <w:tr w:rsidR="00374397" w14:paraId="4066286B" w14:textId="77777777" w:rsidTr="00037931">
        <w:tc>
          <w:tcPr>
            <w:tcW w:w="5665" w:type="dxa"/>
          </w:tcPr>
          <w:p w14:paraId="5BC10A04" w14:textId="1919155C" w:rsidR="00374397" w:rsidRDefault="00374397" w:rsidP="00037931">
            <w:r>
              <w:lastRenderedPageBreak/>
              <w:t>The importance of flexibility, informed choice and continuity of care was reflected in the services provided.</w:t>
            </w:r>
          </w:p>
        </w:tc>
        <w:tc>
          <w:tcPr>
            <w:tcW w:w="2410" w:type="dxa"/>
          </w:tcPr>
          <w:p w14:paraId="391DE98B" w14:textId="592BD4C0" w:rsidR="00374397" w:rsidRDefault="00FC3B64" w:rsidP="00037931">
            <w:r>
              <w:t>R1.1</w:t>
            </w:r>
          </w:p>
          <w:p w14:paraId="018DB2A7" w14:textId="7E2AF353" w:rsidR="0003377A" w:rsidRDefault="0003377A" w:rsidP="00037931">
            <w:r>
              <w:t>R2.5</w:t>
            </w:r>
          </w:p>
          <w:p w14:paraId="404DCFC4" w14:textId="77777777" w:rsidR="0003377A" w:rsidRDefault="0003377A" w:rsidP="00037931">
            <w:r>
              <w:t>R2.8</w:t>
            </w:r>
          </w:p>
          <w:p w14:paraId="1EAE29C2" w14:textId="77777777" w:rsidR="007874DB" w:rsidRDefault="007874DB" w:rsidP="00037931">
            <w:r>
              <w:t>R2.9</w:t>
            </w:r>
          </w:p>
          <w:p w14:paraId="17AA14D8" w14:textId="3F3E6233" w:rsidR="007874DB" w:rsidRDefault="007874DB" w:rsidP="00037931">
            <w:r>
              <w:t>R2.10</w:t>
            </w:r>
          </w:p>
        </w:tc>
        <w:tc>
          <w:tcPr>
            <w:tcW w:w="7313" w:type="dxa"/>
          </w:tcPr>
          <w:p w14:paraId="27F8490E" w14:textId="0C0D8479" w:rsidR="00EB6F42" w:rsidRDefault="00EB6F42" w:rsidP="00EB6F4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Longer appointment times and slots at quiet times for patients with additional needs i.e </w:t>
            </w:r>
            <w:r w:rsidR="00742E18">
              <w:rPr>
                <w:rFonts w:cstheme="minorHAnsi"/>
              </w:rPr>
              <w:t xml:space="preserve">for those living with </w:t>
            </w:r>
            <w:r>
              <w:rPr>
                <w:rFonts w:cstheme="minorHAnsi"/>
              </w:rPr>
              <w:t>learning disabilities</w:t>
            </w:r>
            <w:r w:rsidR="00742E18">
              <w:rPr>
                <w:rFonts w:cstheme="minorHAnsi"/>
              </w:rPr>
              <w:t>, autism</w:t>
            </w:r>
            <w:r>
              <w:rPr>
                <w:rFonts w:cstheme="minorHAnsi"/>
              </w:rPr>
              <w:t xml:space="preserve"> &amp; mental health.</w:t>
            </w:r>
          </w:p>
          <w:p w14:paraId="7D9FC30F" w14:textId="0ACC3E89" w:rsidR="00AA2F5F" w:rsidRPr="00EB6F42" w:rsidRDefault="00AA2F5F" w:rsidP="00EB6F4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hyperlink r:id="rId12" w:history="1">
              <w:r>
                <w:rPr>
                  <w:rStyle w:val="Hyperlink"/>
                </w:rPr>
                <w:t>GP mythbuster 38: Care in advanced serious illness and end of life | CQC Public Website</w:t>
              </w:r>
            </w:hyperlink>
          </w:p>
          <w:p w14:paraId="073E1E9B" w14:textId="40F8338C" w:rsidR="000D5271" w:rsidRDefault="000D5271" w:rsidP="000D52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GP Patient survey results &amp; practice patient survey results</w:t>
            </w:r>
            <w:r>
              <w:rPr>
                <w:rFonts w:cstheme="minorHAnsi"/>
              </w:rPr>
              <w:t xml:space="preserve"> and subsequent action plans</w:t>
            </w:r>
            <w:r w:rsidRPr="00B454A1">
              <w:rPr>
                <w:rFonts w:cstheme="minorHAnsi"/>
              </w:rPr>
              <w:t>.</w:t>
            </w:r>
          </w:p>
          <w:p w14:paraId="7528E5D7" w14:textId="5CF38D33" w:rsidR="000D5271" w:rsidRDefault="000D5271" w:rsidP="000D52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Meeting minutes where survey results and action plan progress is monitored and discussed.</w:t>
            </w:r>
          </w:p>
          <w:p w14:paraId="067CCA8D" w14:textId="77CD0951" w:rsidR="00355547" w:rsidRDefault="00355547" w:rsidP="000D52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Equality &amp; Diversity Policy.</w:t>
            </w:r>
          </w:p>
          <w:p w14:paraId="0FEB6ABB" w14:textId="332F9023" w:rsidR="00355547" w:rsidRPr="00B454A1" w:rsidRDefault="00355547" w:rsidP="000D52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Equality &amp; Diversity training for all staff.</w:t>
            </w:r>
          </w:p>
          <w:p w14:paraId="3D065886" w14:textId="05BCBBEB" w:rsidR="000D5271" w:rsidRDefault="000D5271" w:rsidP="000D52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Comments on NHS Choices and practice response.</w:t>
            </w:r>
          </w:p>
          <w:p w14:paraId="3481E829" w14:textId="76B43E4C" w:rsidR="00A16D6B" w:rsidRPr="00B454A1" w:rsidRDefault="00A16D6B" w:rsidP="000D52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CQC discussions with patients and patient questionnaires.</w:t>
            </w:r>
          </w:p>
          <w:p w14:paraId="377EEA6A" w14:textId="77777777" w:rsidR="000D5271" w:rsidRDefault="000D5271" w:rsidP="000D5271">
            <w:pPr>
              <w:pStyle w:val="ListParagraph"/>
              <w:numPr>
                <w:ilvl w:val="0"/>
                <w:numId w:val="1"/>
              </w:numPr>
            </w:pPr>
            <w:r>
              <w:t>CQC discussions with staff &amp; CQC staff questionnaires.</w:t>
            </w:r>
          </w:p>
          <w:p w14:paraId="72EE70B1" w14:textId="77777777" w:rsidR="00374397" w:rsidRDefault="00374397" w:rsidP="00037931"/>
        </w:tc>
      </w:tr>
      <w:bookmarkEnd w:id="0"/>
      <w:tr w:rsidR="00374397" w14:paraId="2182DBD9" w14:textId="77777777" w:rsidTr="00037931">
        <w:tc>
          <w:tcPr>
            <w:tcW w:w="5665" w:type="dxa"/>
          </w:tcPr>
          <w:p w14:paraId="2A295CED" w14:textId="2461F491" w:rsidR="00374397" w:rsidRDefault="00374397" w:rsidP="00037931">
            <w:r>
              <w:t>The facilities and premises were appropriate for the services being delivered.</w:t>
            </w:r>
          </w:p>
        </w:tc>
        <w:tc>
          <w:tcPr>
            <w:tcW w:w="2410" w:type="dxa"/>
          </w:tcPr>
          <w:p w14:paraId="0FDEB197" w14:textId="06279528" w:rsidR="00374397" w:rsidRDefault="00FC3B64" w:rsidP="00037931">
            <w:r>
              <w:t>R1.3</w:t>
            </w:r>
          </w:p>
        </w:tc>
        <w:tc>
          <w:tcPr>
            <w:tcW w:w="7313" w:type="dxa"/>
          </w:tcPr>
          <w:p w14:paraId="6E2C2788" w14:textId="2AC6E69D" w:rsidR="00374397" w:rsidRDefault="000D5271" w:rsidP="00DC0A16">
            <w:pPr>
              <w:pStyle w:val="ListParagraph"/>
              <w:numPr>
                <w:ilvl w:val="0"/>
                <w:numId w:val="1"/>
              </w:numPr>
            </w:pPr>
            <w:r>
              <w:t>Observation of practice environment, including access and egress arrangements</w:t>
            </w:r>
            <w:r w:rsidR="00EB6F42">
              <w:t xml:space="preserve"> and signage</w:t>
            </w:r>
            <w:r>
              <w:t>.</w:t>
            </w:r>
          </w:p>
          <w:p w14:paraId="59276DBE" w14:textId="7D60252F" w:rsidR="000D5271" w:rsidRDefault="000D5271" w:rsidP="00DC0A16">
            <w:pPr>
              <w:pStyle w:val="ListParagraph"/>
              <w:numPr>
                <w:ilvl w:val="0"/>
                <w:numId w:val="1"/>
              </w:numPr>
            </w:pPr>
            <w:r>
              <w:t xml:space="preserve">Facilities for people with hearing impairments – i.e </w:t>
            </w:r>
            <w:r w:rsidR="00EB6F42">
              <w:t xml:space="preserve">is </w:t>
            </w:r>
            <w:r>
              <w:t>there a hearing loop?</w:t>
            </w:r>
          </w:p>
          <w:p w14:paraId="6C7F8411" w14:textId="62BC4288" w:rsidR="00F97916" w:rsidRDefault="007874DB" w:rsidP="00DC0A16">
            <w:pPr>
              <w:pStyle w:val="ListParagraph"/>
              <w:numPr>
                <w:ilvl w:val="0"/>
                <w:numId w:val="1"/>
              </w:numPr>
            </w:pPr>
            <w:hyperlink r:id="rId13" w:history="1">
              <w:r w:rsidR="00F97916">
                <w:rPr>
                  <w:rStyle w:val="Hyperlink"/>
                </w:rPr>
                <w:t>GP mythbuster 67: Reasonable adjustments for disabled people | CQC Public Website</w:t>
              </w:r>
            </w:hyperlink>
          </w:p>
          <w:p w14:paraId="6306404E" w14:textId="3801AF3E" w:rsidR="00DC0A16" w:rsidRDefault="00DC0A16" w:rsidP="00DC0A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Comments on NHS Choices and practice response.</w:t>
            </w:r>
          </w:p>
          <w:p w14:paraId="33ACA588" w14:textId="01571B3E" w:rsidR="00A16D6B" w:rsidRPr="00B454A1" w:rsidRDefault="00A16D6B" w:rsidP="00DC0A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CQC discussions with patients and patient questionnaires.</w:t>
            </w:r>
          </w:p>
          <w:p w14:paraId="01DDE3CE" w14:textId="77777777" w:rsidR="00DC0A16" w:rsidRDefault="00DC0A16" w:rsidP="00DC0A16">
            <w:pPr>
              <w:pStyle w:val="ListParagraph"/>
              <w:numPr>
                <w:ilvl w:val="0"/>
                <w:numId w:val="1"/>
              </w:numPr>
            </w:pPr>
            <w:r>
              <w:t>CQC discussions with staff &amp; CQC staff questionnaires.</w:t>
            </w:r>
          </w:p>
          <w:p w14:paraId="6D4F97E3" w14:textId="61857D5E" w:rsidR="000D5271" w:rsidRDefault="000D5271" w:rsidP="00037931"/>
        </w:tc>
      </w:tr>
      <w:tr w:rsidR="00374397" w14:paraId="4F06ABCC" w14:textId="77777777" w:rsidTr="00037931">
        <w:tc>
          <w:tcPr>
            <w:tcW w:w="5665" w:type="dxa"/>
          </w:tcPr>
          <w:p w14:paraId="72EECDA4" w14:textId="67B107C5" w:rsidR="00374397" w:rsidRDefault="00374397" w:rsidP="00037931">
            <w:r>
              <w:t>The practice made reasonable adjustments when patients found it hard to access services.</w:t>
            </w:r>
          </w:p>
        </w:tc>
        <w:tc>
          <w:tcPr>
            <w:tcW w:w="2410" w:type="dxa"/>
          </w:tcPr>
          <w:p w14:paraId="4E53FAF2" w14:textId="04530F21" w:rsidR="00374397" w:rsidRDefault="00FC3B64" w:rsidP="00037931">
            <w:r>
              <w:t>R1.3</w:t>
            </w:r>
          </w:p>
        </w:tc>
        <w:tc>
          <w:tcPr>
            <w:tcW w:w="7313" w:type="dxa"/>
          </w:tcPr>
          <w:p w14:paraId="3A59FCCF" w14:textId="13584894" w:rsidR="00374397" w:rsidRDefault="005C2E1A" w:rsidP="005C2E1A">
            <w:pPr>
              <w:pStyle w:val="ListParagraph"/>
              <w:numPr>
                <w:ilvl w:val="0"/>
                <w:numId w:val="3"/>
              </w:numPr>
            </w:pPr>
            <w:r>
              <w:t>Practice access model to ensure patients can make an appointment with the most appropriate member of the practice team.</w:t>
            </w:r>
          </w:p>
          <w:p w14:paraId="3CE5153B" w14:textId="71769A65" w:rsidR="00F97916" w:rsidRPr="007D146C" w:rsidRDefault="007874DB" w:rsidP="005C2E1A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color w:val="auto"/>
                <w:u w:val="none"/>
              </w:rPr>
            </w:pPr>
            <w:hyperlink r:id="rId14" w:history="1">
              <w:r w:rsidR="00F97916">
                <w:rPr>
                  <w:rStyle w:val="Hyperlink"/>
                </w:rPr>
                <w:t>GP mythbuster 77: Access to appointments and staff competence | CQC Public Website</w:t>
              </w:r>
            </w:hyperlink>
          </w:p>
          <w:p w14:paraId="6E0E1604" w14:textId="00CDA1FC" w:rsidR="007D146C" w:rsidRDefault="007D146C" w:rsidP="005C2E1A">
            <w:pPr>
              <w:pStyle w:val="ListParagraph"/>
              <w:numPr>
                <w:ilvl w:val="0"/>
                <w:numId w:val="3"/>
              </w:numPr>
            </w:pPr>
            <w:hyperlink r:id="rId15" w:history="1">
              <w:r>
                <w:rPr>
                  <w:rStyle w:val="Hyperlink"/>
                </w:rPr>
                <w:t>GP mythbuster 61: Patient registration | CQC Public Website</w:t>
              </w:r>
            </w:hyperlink>
          </w:p>
          <w:p w14:paraId="7E958402" w14:textId="553EE283" w:rsidR="005C2E1A" w:rsidRDefault="005C2E1A" w:rsidP="005C2E1A">
            <w:pPr>
              <w:pStyle w:val="ListParagraph"/>
              <w:numPr>
                <w:ilvl w:val="0"/>
                <w:numId w:val="3"/>
              </w:numPr>
            </w:pPr>
            <w:r>
              <w:t>Quality reviews of access model</w:t>
            </w:r>
            <w:r w:rsidR="00EB6F42">
              <w:t xml:space="preserve"> and response times and subsequent actions if improvements are required</w:t>
            </w:r>
            <w:r>
              <w:t>.</w:t>
            </w:r>
          </w:p>
          <w:p w14:paraId="585321CA" w14:textId="1F1C281A" w:rsidR="00EB6F42" w:rsidRDefault="00EB6F42" w:rsidP="005C2E1A">
            <w:pPr>
              <w:pStyle w:val="ListParagraph"/>
              <w:numPr>
                <w:ilvl w:val="0"/>
                <w:numId w:val="3"/>
              </w:numPr>
            </w:pPr>
            <w:r>
              <w:t>Observation of information in practice and the on website</w:t>
            </w:r>
          </w:p>
          <w:p w14:paraId="2C8A66F3" w14:textId="6D77DC3D" w:rsidR="005C2E1A" w:rsidRDefault="005C2E1A" w:rsidP="005C2E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Comments on NHS Choices and practice response.</w:t>
            </w:r>
          </w:p>
          <w:p w14:paraId="2A490919" w14:textId="4EEEBE27" w:rsidR="00A16D6B" w:rsidRPr="00B454A1" w:rsidRDefault="00A16D6B" w:rsidP="005C2E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lastRenderedPageBreak/>
              <w:t>CQC discussions with patients and patient questionnaires.</w:t>
            </w:r>
          </w:p>
          <w:p w14:paraId="549C3352" w14:textId="77777777" w:rsidR="005C2E1A" w:rsidRDefault="005C2E1A" w:rsidP="005C2E1A">
            <w:pPr>
              <w:pStyle w:val="ListParagraph"/>
              <w:numPr>
                <w:ilvl w:val="0"/>
                <w:numId w:val="1"/>
              </w:numPr>
            </w:pPr>
            <w:r>
              <w:t>CQC discussions with staff &amp; CQC staff questionnaires.</w:t>
            </w:r>
          </w:p>
          <w:p w14:paraId="06CF0530" w14:textId="2F1CCA9C" w:rsidR="005C2E1A" w:rsidRDefault="005C2E1A" w:rsidP="00037931"/>
        </w:tc>
      </w:tr>
      <w:tr w:rsidR="00451355" w14:paraId="44A86F2F" w14:textId="77777777" w:rsidTr="00037931">
        <w:tc>
          <w:tcPr>
            <w:tcW w:w="5665" w:type="dxa"/>
          </w:tcPr>
          <w:p w14:paraId="7B6E65FE" w14:textId="063E0AFD" w:rsidR="00451355" w:rsidRDefault="00451355" w:rsidP="00451355">
            <w:r>
              <w:lastRenderedPageBreak/>
              <w:t>There were arrangements in place for people who need translation services.</w:t>
            </w:r>
          </w:p>
        </w:tc>
        <w:tc>
          <w:tcPr>
            <w:tcW w:w="2410" w:type="dxa"/>
          </w:tcPr>
          <w:p w14:paraId="554BCE23" w14:textId="722631D2" w:rsidR="00451355" w:rsidRDefault="00451355" w:rsidP="00451355">
            <w:r>
              <w:t>R2.1</w:t>
            </w:r>
          </w:p>
        </w:tc>
        <w:tc>
          <w:tcPr>
            <w:tcW w:w="7313" w:type="dxa"/>
          </w:tcPr>
          <w:p w14:paraId="52FCB1E6" w14:textId="77777777" w:rsidR="00451355" w:rsidRDefault="00451355" w:rsidP="00451355">
            <w:pPr>
              <w:pStyle w:val="ListParagraph"/>
              <w:numPr>
                <w:ilvl w:val="0"/>
                <w:numId w:val="2"/>
              </w:numPr>
            </w:pPr>
            <w:r>
              <w:t>Observation of information on interpretation services available in practice reception area and on website.</w:t>
            </w:r>
          </w:p>
          <w:p w14:paraId="43419E05" w14:textId="68849294" w:rsidR="00451355" w:rsidRDefault="00451355" w:rsidP="00451355">
            <w:pPr>
              <w:pStyle w:val="ListParagraph"/>
              <w:numPr>
                <w:ilvl w:val="0"/>
                <w:numId w:val="2"/>
              </w:numPr>
            </w:pPr>
            <w:r>
              <w:t>Interpretation service</w:t>
            </w:r>
            <w:r w:rsidR="00EB6F42">
              <w:t>s</w:t>
            </w:r>
            <w:r>
              <w:t xml:space="preserve"> available for practice staff to access for patients.</w:t>
            </w:r>
          </w:p>
          <w:p w14:paraId="2E91A690" w14:textId="4709E3CE" w:rsidR="00451355" w:rsidRDefault="00451355" w:rsidP="00451355">
            <w:pPr>
              <w:pStyle w:val="ListParagraph"/>
              <w:numPr>
                <w:ilvl w:val="0"/>
                <w:numId w:val="2"/>
              </w:numPr>
            </w:pPr>
            <w:r>
              <w:t>CQC discussions with staff &amp; CQC staff questionnaires.</w:t>
            </w:r>
          </w:p>
          <w:p w14:paraId="61753837" w14:textId="68FA82C6" w:rsidR="00A16D6B" w:rsidRDefault="00A16D6B" w:rsidP="00451355">
            <w:pPr>
              <w:pStyle w:val="ListParagraph"/>
              <w:numPr>
                <w:ilvl w:val="0"/>
                <w:numId w:val="2"/>
              </w:numPr>
            </w:pPr>
            <w:r>
              <w:t>CQC discussions with patients and patient questionnaires.</w:t>
            </w:r>
          </w:p>
          <w:p w14:paraId="58300123" w14:textId="034CD033" w:rsidR="00451355" w:rsidRDefault="00451355" w:rsidP="00A16D6B">
            <w:pPr>
              <w:pStyle w:val="ListParagraph"/>
            </w:pPr>
          </w:p>
        </w:tc>
      </w:tr>
      <w:tr w:rsidR="00451355" w14:paraId="142089CC" w14:textId="77777777" w:rsidTr="00037931">
        <w:tc>
          <w:tcPr>
            <w:tcW w:w="5665" w:type="dxa"/>
          </w:tcPr>
          <w:p w14:paraId="0A80E757" w14:textId="6B9D878C" w:rsidR="00451355" w:rsidRDefault="00451355" w:rsidP="00451355">
            <w:r>
              <w:t>The practice complied with the Accessible Information Standard.</w:t>
            </w:r>
          </w:p>
        </w:tc>
        <w:tc>
          <w:tcPr>
            <w:tcW w:w="2410" w:type="dxa"/>
          </w:tcPr>
          <w:p w14:paraId="0E37BA4B" w14:textId="79A3947B" w:rsidR="00451355" w:rsidRDefault="00451355" w:rsidP="00451355">
            <w:r>
              <w:t>R1.4</w:t>
            </w:r>
          </w:p>
        </w:tc>
        <w:tc>
          <w:tcPr>
            <w:tcW w:w="7313" w:type="dxa"/>
          </w:tcPr>
          <w:p w14:paraId="3B0BC97D" w14:textId="77777777" w:rsidR="006E2BC5" w:rsidRDefault="00AC1832" w:rsidP="00A16D6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E2BC5">
              <w:rPr>
                <w:rFonts w:cstheme="minorHAnsi"/>
              </w:rPr>
              <w:t>Observation of how</w:t>
            </w:r>
            <w:r w:rsidR="006E2BC5" w:rsidRPr="006E2BC5">
              <w:rPr>
                <w:rFonts w:cstheme="minorHAnsi"/>
                <w:color w:val="212121"/>
                <w:spacing w:val="-5"/>
              </w:rPr>
              <w:t xml:space="preserve"> patients and carers with disability, impairment or sensory loss receive information they can easily read or understand and</w:t>
            </w:r>
            <w:r w:rsidR="006E2BC5">
              <w:rPr>
                <w:rFonts w:cstheme="minorHAnsi"/>
                <w:color w:val="212121"/>
                <w:spacing w:val="-5"/>
              </w:rPr>
              <w:t>,</w:t>
            </w:r>
            <w:r w:rsidR="006E2BC5" w:rsidRPr="006E2BC5">
              <w:rPr>
                <w:rFonts w:cstheme="minorHAnsi"/>
                <w:color w:val="212121"/>
                <w:spacing w:val="-5"/>
              </w:rPr>
              <w:t> get support so they can communicate effectively with health and social care services.</w:t>
            </w:r>
            <w:r w:rsidRPr="006E2BC5">
              <w:rPr>
                <w:rFonts w:cstheme="minorHAnsi"/>
              </w:rPr>
              <w:t xml:space="preserve"> </w:t>
            </w:r>
          </w:p>
          <w:p w14:paraId="2EA3688A" w14:textId="77777777" w:rsidR="006E2BC5" w:rsidRPr="00A16D6B" w:rsidRDefault="007874DB" w:rsidP="00A16D6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hyperlink r:id="rId16" w:history="1">
              <w:r w:rsidR="006E2BC5">
                <w:rPr>
                  <w:rStyle w:val="Hyperlink"/>
                </w:rPr>
                <w:t>GP mythbuster 20: Making information accessible | CQC Public Website</w:t>
              </w:r>
            </w:hyperlink>
          </w:p>
          <w:p w14:paraId="4DEE2F3A" w14:textId="77777777" w:rsidR="00A16D6B" w:rsidRPr="00B454A1" w:rsidRDefault="00A16D6B" w:rsidP="00A16D6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Comments on NHS Choices and practice response.</w:t>
            </w:r>
          </w:p>
          <w:p w14:paraId="252123BC" w14:textId="0364A490" w:rsidR="00A16D6B" w:rsidRDefault="00A16D6B" w:rsidP="00A16D6B">
            <w:pPr>
              <w:pStyle w:val="ListParagraph"/>
              <w:numPr>
                <w:ilvl w:val="0"/>
                <w:numId w:val="2"/>
              </w:numPr>
            </w:pPr>
            <w:r>
              <w:t>CQC discussions with patients and patient questionnaires.</w:t>
            </w:r>
          </w:p>
          <w:p w14:paraId="4596ADA5" w14:textId="7F456ADA" w:rsidR="00A16D6B" w:rsidRDefault="00A16D6B" w:rsidP="00A16D6B">
            <w:pPr>
              <w:pStyle w:val="ListParagraph"/>
              <w:numPr>
                <w:ilvl w:val="0"/>
                <w:numId w:val="2"/>
              </w:numPr>
            </w:pPr>
            <w:r>
              <w:t>CQC discussions with staff &amp; CQC staff questionnaires.</w:t>
            </w:r>
          </w:p>
          <w:p w14:paraId="0AF27FE1" w14:textId="1EDD661F" w:rsidR="00A16D6B" w:rsidRPr="006E2BC5" w:rsidRDefault="00A16D6B" w:rsidP="00A16D6B">
            <w:pPr>
              <w:pStyle w:val="ListParagraph"/>
              <w:rPr>
                <w:rFonts w:cstheme="minorHAnsi"/>
              </w:rPr>
            </w:pPr>
          </w:p>
        </w:tc>
      </w:tr>
    </w:tbl>
    <w:p w14:paraId="31754717" w14:textId="79F915A1" w:rsidR="00094564" w:rsidRDefault="00094564" w:rsidP="000731A8">
      <w:pPr>
        <w:spacing w:after="0"/>
      </w:pPr>
    </w:p>
    <w:p w14:paraId="63BFC164" w14:textId="14C37139" w:rsidR="00374397" w:rsidRDefault="00374397" w:rsidP="00374397">
      <w:pPr>
        <w:rPr>
          <w:b/>
          <w:bCs/>
          <w:sz w:val="28"/>
          <w:szCs w:val="28"/>
        </w:rPr>
      </w:pPr>
      <w:r w:rsidRPr="00374397">
        <w:rPr>
          <w:b/>
          <w:bCs/>
          <w:sz w:val="28"/>
          <w:szCs w:val="28"/>
        </w:rPr>
        <w:t>Access to the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410"/>
        <w:gridCol w:w="7313"/>
      </w:tblGrid>
      <w:tr w:rsidR="00374397" w:rsidRPr="00D10B09" w14:paraId="46389A01" w14:textId="77777777" w:rsidTr="00037931">
        <w:tc>
          <w:tcPr>
            <w:tcW w:w="15388" w:type="dxa"/>
            <w:gridSpan w:val="3"/>
          </w:tcPr>
          <w:p w14:paraId="6A367522" w14:textId="61FB57A2" w:rsidR="00374397" w:rsidRPr="00374397" w:rsidRDefault="00374397" w:rsidP="00037931">
            <w:pPr>
              <w:rPr>
                <w:b/>
                <w:bCs/>
              </w:rPr>
            </w:pPr>
            <w:r w:rsidRPr="00374397">
              <w:rPr>
                <w:b/>
                <w:bCs/>
              </w:rPr>
              <w:t>People were able to access care and treatment in a timely way.</w:t>
            </w:r>
          </w:p>
        </w:tc>
      </w:tr>
      <w:tr w:rsidR="00374397" w14:paraId="2AD6D9D8" w14:textId="77777777" w:rsidTr="00037931">
        <w:tc>
          <w:tcPr>
            <w:tcW w:w="5665" w:type="dxa"/>
          </w:tcPr>
          <w:p w14:paraId="0478ED7C" w14:textId="77777777" w:rsidR="00374397" w:rsidRDefault="00374397" w:rsidP="00037931">
            <w:r w:rsidRPr="00F64DDB">
              <w:rPr>
                <w:b/>
                <w:bCs/>
              </w:rPr>
              <w:t>Evidence Table Question</w:t>
            </w:r>
            <w:r>
              <w:rPr>
                <w:b/>
                <w:bCs/>
              </w:rPr>
              <w:t>s</w:t>
            </w:r>
          </w:p>
        </w:tc>
        <w:tc>
          <w:tcPr>
            <w:tcW w:w="2410" w:type="dxa"/>
          </w:tcPr>
          <w:p w14:paraId="2E3B6EB6" w14:textId="77777777" w:rsidR="00374397" w:rsidRDefault="00374397" w:rsidP="00037931">
            <w:r>
              <w:rPr>
                <w:b/>
                <w:bCs/>
              </w:rPr>
              <w:t xml:space="preserve">Link to </w:t>
            </w:r>
            <w:r w:rsidRPr="00F64DDB">
              <w:rPr>
                <w:b/>
                <w:bCs/>
              </w:rPr>
              <w:t>Key line of enquiry/prompt</w:t>
            </w:r>
            <w:r>
              <w:rPr>
                <w:b/>
                <w:bCs/>
              </w:rPr>
              <w:t xml:space="preserve"> in assessment framework</w:t>
            </w:r>
          </w:p>
        </w:tc>
        <w:tc>
          <w:tcPr>
            <w:tcW w:w="7313" w:type="dxa"/>
          </w:tcPr>
          <w:p w14:paraId="39130C97" w14:textId="77777777" w:rsidR="00374397" w:rsidRDefault="00374397" w:rsidP="00037931">
            <w:r w:rsidRPr="00F64DDB">
              <w:rPr>
                <w:b/>
                <w:bCs/>
              </w:rPr>
              <w:t xml:space="preserve">Examples of </w:t>
            </w:r>
            <w:r>
              <w:rPr>
                <w:b/>
                <w:bCs/>
              </w:rPr>
              <w:t>E</w:t>
            </w:r>
            <w:r w:rsidRPr="00F64DDB">
              <w:rPr>
                <w:b/>
                <w:bCs/>
              </w:rPr>
              <w:t>vidence</w:t>
            </w:r>
            <w:r>
              <w:rPr>
                <w:b/>
                <w:bCs/>
              </w:rPr>
              <w:t xml:space="preserve"> Required &amp; Links to Resources</w:t>
            </w:r>
          </w:p>
        </w:tc>
      </w:tr>
      <w:tr w:rsidR="00374397" w14:paraId="7FBE8983" w14:textId="77777777" w:rsidTr="00037931">
        <w:tc>
          <w:tcPr>
            <w:tcW w:w="5665" w:type="dxa"/>
          </w:tcPr>
          <w:p w14:paraId="0F6FF6E8" w14:textId="4591DD0A" w:rsidR="00374397" w:rsidRDefault="00374397" w:rsidP="00037931">
            <w:r>
              <w:t>There was information available for patients to support them to understand how to access services (including on websites and telephone messages).</w:t>
            </w:r>
          </w:p>
        </w:tc>
        <w:tc>
          <w:tcPr>
            <w:tcW w:w="2410" w:type="dxa"/>
          </w:tcPr>
          <w:p w14:paraId="3752A541" w14:textId="77777777" w:rsidR="00374397" w:rsidRDefault="00FC3B64" w:rsidP="00037931">
            <w:r>
              <w:t>R2.1</w:t>
            </w:r>
          </w:p>
          <w:p w14:paraId="6CCBD9AC" w14:textId="77777777" w:rsidR="00FC3B64" w:rsidRDefault="00FC3B64" w:rsidP="00037931">
            <w:r>
              <w:t>R2.2</w:t>
            </w:r>
          </w:p>
          <w:p w14:paraId="555FE80A" w14:textId="4DFFE39D" w:rsidR="0003377A" w:rsidRDefault="0003377A" w:rsidP="00037931"/>
        </w:tc>
        <w:tc>
          <w:tcPr>
            <w:tcW w:w="7313" w:type="dxa"/>
          </w:tcPr>
          <w:p w14:paraId="4192C78A" w14:textId="1E645DE5" w:rsidR="00374397" w:rsidRDefault="00C7143F" w:rsidP="006B0BFA">
            <w:pPr>
              <w:pStyle w:val="ListParagraph"/>
              <w:numPr>
                <w:ilvl w:val="0"/>
                <w:numId w:val="6"/>
              </w:numPr>
            </w:pPr>
            <w:r>
              <w:t>Observation of information in practice waiting rooms</w:t>
            </w:r>
            <w:r w:rsidR="006B0BFA">
              <w:t>,</w:t>
            </w:r>
            <w:r>
              <w:t xml:space="preserve"> on </w:t>
            </w:r>
            <w:r w:rsidR="006B0BFA">
              <w:t xml:space="preserve">the </w:t>
            </w:r>
            <w:r>
              <w:t>website</w:t>
            </w:r>
            <w:r w:rsidR="006B0BFA">
              <w:t xml:space="preserve"> and telephone message.</w:t>
            </w:r>
          </w:p>
          <w:p w14:paraId="0B72CE45" w14:textId="6BCBDE24" w:rsidR="00741858" w:rsidRDefault="00741858" w:rsidP="006B0BFA">
            <w:pPr>
              <w:pStyle w:val="ListParagraph"/>
              <w:numPr>
                <w:ilvl w:val="0"/>
                <w:numId w:val="6"/>
              </w:numPr>
            </w:pPr>
            <w:hyperlink r:id="rId17" w:history="1">
              <w:r>
                <w:rPr>
                  <w:rStyle w:val="Hyperlink"/>
                </w:rPr>
                <w:t>GP mythbuster 77: Access to appointments and staff competence | CQC Public Website</w:t>
              </w:r>
            </w:hyperlink>
          </w:p>
          <w:p w14:paraId="460EF34A" w14:textId="77777777" w:rsidR="006B0BFA" w:rsidRPr="00B454A1" w:rsidRDefault="006B0BFA" w:rsidP="006B0B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Comments on NHS Choices and practice response.</w:t>
            </w:r>
          </w:p>
          <w:p w14:paraId="4698254A" w14:textId="77777777" w:rsidR="006B0BFA" w:rsidRDefault="006B0BFA" w:rsidP="006B0BFA">
            <w:pPr>
              <w:pStyle w:val="ListParagraph"/>
              <w:numPr>
                <w:ilvl w:val="0"/>
                <w:numId w:val="2"/>
              </w:numPr>
            </w:pPr>
            <w:r>
              <w:t>CQC discussions with patients and patient questionnaires.</w:t>
            </w:r>
          </w:p>
          <w:p w14:paraId="55DB65B1" w14:textId="77777777" w:rsidR="006B0BFA" w:rsidRDefault="006B0BFA" w:rsidP="006B0BFA">
            <w:pPr>
              <w:pStyle w:val="ListParagraph"/>
              <w:numPr>
                <w:ilvl w:val="0"/>
                <w:numId w:val="2"/>
              </w:numPr>
            </w:pPr>
            <w:r>
              <w:t>CQC discussions with staff &amp; CQC staff questionnaires.</w:t>
            </w:r>
          </w:p>
          <w:p w14:paraId="5B55A597" w14:textId="037F314B" w:rsidR="006B0BFA" w:rsidRDefault="006B0BFA" w:rsidP="00037931"/>
        </w:tc>
      </w:tr>
      <w:tr w:rsidR="00374397" w14:paraId="556DAE07" w14:textId="77777777" w:rsidTr="00037931">
        <w:tc>
          <w:tcPr>
            <w:tcW w:w="5665" w:type="dxa"/>
          </w:tcPr>
          <w:p w14:paraId="4BAE69DD" w14:textId="4EA530C3" w:rsidR="00374397" w:rsidRDefault="00374397" w:rsidP="00037931">
            <w:r>
              <w:t>Patients were able to make appointments in a way which met their needs.</w:t>
            </w:r>
          </w:p>
        </w:tc>
        <w:tc>
          <w:tcPr>
            <w:tcW w:w="2410" w:type="dxa"/>
          </w:tcPr>
          <w:p w14:paraId="06FB5947" w14:textId="29B7AF70" w:rsidR="0003377A" w:rsidRDefault="0003377A" w:rsidP="00037931">
            <w:r>
              <w:t>R3.2</w:t>
            </w:r>
          </w:p>
          <w:p w14:paraId="7D20261D" w14:textId="636A7AF1" w:rsidR="00374397" w:rsidRDefault="0003377A" w:rsidP="00037931">
            <w:r>
              <w:t>R3.5</w:t>
            </w:r>
          </w:p>
        </w:tc>
        <w:tc>
          <w:tcPr>
            <w:tcW w:w="7313" w:type="dxa"/>
          </w:tcPr>
          <w:p w14:paraId="4303361E" w14:textId="77777777" w:rsidR="00374397" w:rsidRDefault="00444C42" w:rsidP="00444C42">
            <w:pPr>
              <w:pStyle w:val="ListParagraph"/>
              <w:numPr>
                <w:ilvl w:val="0"/>
                <w:numId w:val="7"/>
              </w:numPr>
            </w:pPr>
            <w:r>
              <w:t>Patients could make appointments on the telephone, online or in person.</w:t>
            </w:r>
          </w:p>
          <w:p w14:paraId="1BBD73F7" w14:textId="77777777" w:rsidR="00444C42" w:rsidRPr="00B454A1" w:rsidRDefault="00444C42" w:rsidP="00444C4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lastRenderedPageBreak/>
              <w:t>Comments on NHS Choices and practice response.</w:t>
            </w:r>
          </w:p>
          <w:p w14:paraId="4E169DD3" w14:textId="77777777" w:rsidR="00444C42" w:rsidRDefault="00444C42" w:rsidP="00444C42">
            <w:pPr>
              <w:pStyle w:val="ListParagraph"/>
              <w:numPr>
                <w:ilvl w:val="0"/>
                <w:numId w:val="2"/>
              </w:numPr>
            </w:pPr>
            <w:r>
              <w:t>CQC discussions with patients and patient questionnaires.</w:t>
            </w:r>
          </w:p>
          <w:p w14:paraId="54B19259" w14:textId="77777777" w:rsidR="00444C42" w:rsidRDefault="00444C42" w:rsidP="00444C42">
            <w:pPr>
              <w:pStyle w:val="ListParagraph"/>
              <w:numPr>
                <w:ilvl w:val="0"/>
                <w:numId w:val="2"/>
              </w:numPr>
            </w:pPr>
            <w:r>
              <w:t>CQC discussions with staff &amp; CQC staff questionnaires.</w:t>
            </w:r>
          </w:p>
          <w:p w14:paraId="556316C7" w14:textId="0BA7E4DA" w:rsidR="00444C42" w:rsidRDefault="00444C42" w:rsidP="00037931"/>
        </w:tc>
      </w:tr>
      <w:tr w:rsidR="00374397" w14:paraId="5C3E8183" w14:textId="77777777" w:rsidTr="00037931">
        <w:tc>
          <w:tcPr>
            <w:tcW w:w="5665" w:type="dxa"/>
          </w:tcPr>
          <w:p w14:paraId="6BBA254C" w14:textId="76488D5D" w:rsidR="00374397" w:rsidRDefault="00374397" w:rsidP="00037931">
            <w:r>
              <w:lastRenderedPageBreak/>
              <w:t>The practice offered a range of appointment types to suit different needs (e.g. face to face, telephone, online).</w:t>
            </w:r>
          </w:p>
        </w:tc>
        <w:tc>
          <w:tcPr>
            <w:tcW w:w="2410" w:type="dxa"/>
          </w:tcPr>
          <w:p w14:paraId="5F35BDE2" w14:textId="6D18DC5C" w:rsidR="00374397" w:rsidRDefault="0003377A" w:rsidP="00037931">
            <w:r>
              <w:t>R3.8</w:t>
            </w:r>
          </w:p>
        </w:tc>
        <w:tc>
          <w:tcPr>
            <w:tcW w:w="7313" w:type="dxa"/>
          </w:tcPr>
          <w:p w14:paraId="057DCC12" w14:textId="225FDA36" w:rsidR="00374397" w:rsidRDefault="00444C42" w:rsidP="007D146C">
            <w:pPr>
              <w:pStyle w:val="ListParagraph"/>
              <w:numPr>
                <w:ilvl w:val="0"/>
                <w:numId w:val="1"/>
              </w:numPr>
            </w:pPr>
            <w:r>
              <w:t>Review of appointment system showing different range of appointment types</w:t>
            </w:r>
            <w:r w:rsidR="007D146C">
              <w:t xml:space="preserve"> &amp; opening times</w:t>
            </w:r>
            <w:r>
              <w:t>.</w:t>
            </w:r>
          </w:p>
          <w:p w14:paraId="35E51839" w14:textId="77777777" w:rsidR="007D146C" w:rsidRDefault="007D146C" w:rsidP="007D146C">
            <w:pPr>
              <w:pStyle w:val="ListParagraph"/>
              <w:numPr>
                <w:ilvl w:val="0"/>
                <w:numId w:val="1"/>
              </w:numPr>
            </w:pPr>
            <w:hyperlink r:id="rId18" w:history="1">
              <w:r>
                <w:rPr>
                  <w:rStyle w:val="Hyperlink"/>
                </w:rPr>
                <w:t>GP mythbuster 55: Opening hours | CQC Public Website</w:t>
              </w:r>
            </w:hyperlink>
          </w:p>
          <w:p w14:paraId="214D2F1F" w14:textId="77777777" w:rsidR="00444C42" w:rsidRDefault="00444C42" w:rsidP="007D146C">
            <w:pPr>
              <w:pStyle w:val="ListParagraph"/>
              <w:numPr>
                <w:ilvl w:val="0"/>
                <w:numId w:val="1"/>
              </w:numPr>
            </w:pPr>
            <w:r>
              <w:t>Patient surveys showing levels of patient satisfaction with different types of appointments available.</w:t>
            </w:r>
          </w:p>
          <w:p w14:paraId="3A427040" w14:textId="22FE7320" w:rsidR="00444C42" w:rsidRDefault="00444C42" w:rsidP="007D14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Meeting minutes where survey results and action plan progress is monitored and discussed.</w:t>
            </w:r>
          </w:p>
          <w:p w14:paraId="6E642060" w14:textId="77777777" w:rsidR="00107AA3" w:rsidRPr="00107AA3" w:rsidRDefault="00107AA3" w:rsidP="007D14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Procedure for ensuring adequate staffing levels. </w:t>
            </w:r>
          </w:p>
          <w:p w14:paraId="596BD0A2" w14:textId="77777777" w:rsidR="00107AA3" w:rsidRPr="00107AA3" w:rsidRDefault="00107AA3" w:rsidP="007D14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Staffing rotas.</w:t>
            </w:r>
          </w:p>
          <w:p w14:paraId="169361AD" w14:textId="53009BF4" w:rsidR="00107AA3" w:rsidRDefault="00107AA3" w:rsidP="007D14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Clinic schedules.</w:t>
            </w:r>
          </w:p>
          <w:p w14:paraId="5B6BC0DC" w14:textId="77777777" w:rsidR="00444C42" w:rsidRPr="00B454A1" w:rsidRDefault="00444C42" w:rsidP="007D14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Comments on NHS Choices and practice response.</w:t>
            </w:r>
          </w:p>
          <w:p w14:paraId="4FD293A2" w14:textId="77777777" w:rsidR="00444C42" w:rsidRDefault="00444C42" w:rsidP="007D146C">
            <w:pPr>
              <w:pStyle w:val="ListParagraph"/>
              <w:numPr>
                <w:ilvl w:val="0"/>
                <w:numId w:val="1"/>
              </w:numPr>
            </w:pPr>
            <w:r>
              <w:t>CQC discussions with patients and patient questionnaires.</w:t>
            </w:r>
          </w:p>
          <w:p w14:paraId="5C769447" w14:textId="77777777" w:rsidR="00444C42" w:rsidRDefault="00444C42" w:rsidP="007D146C">
            <w:pPr>
              <w:pStyle w:val="ListParagraph"/>
              <w:numPr>
                <w:ilvl w:val="0"/>
                <w:numId w:val="1"/>
              </w:numPr>
            </w:pPr>
            <w:r>
              <w:t>CQC discussions with staff &amp; CQC staff questionnaires.</w:t>
            </w:r>
          </w:p>
          <w:p w14:paraId="2BC268E2" w14:textId="38293E70" w:rsidR="00444C42" w:rsidRDefault="00444C42" w:rsidP="00037931"/>
        </w:tc>
      </w:tr>
      <w:tr w:rsidR="00374397" w14:paraId="2545C896" w14:textId="77777777" w:rsidTr="00037931">
        <w:tc>
          <w:tcPr>
            <w:tcW w:w="5665" w:type="dxa"/>
          </w:tcPr>
          <w:p w14:paraId="67D13F86" w14:textId="0E8AA630" w:rsidR="00374397" w:rsidRDefault="00374397" w:rsidP="00037931">
            <w:r>
              <w:t>There were systems in place to support patients who face communication barriers to access treatment.</w:t>
            </w:r>
          </w:p>
        </w:tc>
        <w:tc>
          <w:tcPr>
            <w:tcW w:w="2410" w:type="dxa"/>
          </w:tcPr>
          <w:p w14:paraId="617ED8DC" w14:textId="5D94C88C" w:rsidR="00374397" w:rsidRDefault="00F20E7D" w:rsidP="00037931">
            <w:r>
              <w:t>R2.1</w:t>
            </w:r>
          </w:p>
        </w:tc>
        <w:tc>
          <w:tcPr>
            <w:tcW w:w="7313" w:type="dxa"/>
          </w:tcPr>
          <w:p w14:paraId="71F40860" w14:textId="77777777" w:rsidR="00392090" w:rsidRDefault="00392090" w:rsidP="00392090">
            <w:pPr>
              <w:pStyle w:val="ListParagraph"/>
              <w:numPr>
                <w:ilvl w:val="0"/>
                <w:numId w:val="9"/>
              </w:numPr>
            </w:pPr>
            <w:r>
              <w:t>Accessible Information Standard risk assessment and subsequent measures to support patients.</w:t>
            </w:r>
          </w:p>
          <w:p w14:paraId="3AD9F385" w14:textId="48D5F88F" w:rsidR="00374397" w:rsidRDefault="00444C42" w:rsidP="00392090">
            <w:pPr>
              <w:pStyle w:val="ListParagraph"/>
              <w:numPr>
                <w:ilvl w:val="0"/>
                <w:numId w:val="9"/>
              </w:numPr>
            </w:pPr>
            <w:r>
              <w:t>Observation of practice systems for dealing with communication barriers i.e flags on patient records of any impairments – hearing/visual/language.</w:t>
            </w:r>
          </w:p>
          <w:p w14:paraId="53AD6721" w14:textId="32B89171" w:rsidR="00741858" w:rsidRDefault="00741858" w:rsidP="00392090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>
                <w:rPr>
                  <w:rStyle w:val="Hyperlink"/>
                </w:rPr>
                <w:t>GP mythbuster 67: Reasonable adjustments for disabled people | CQC Public Website</w:t>
              </w:r>
            </w:hyperlink>
          </w:p>
          <w:p w14:paraId="5F374FFD" w14:textId="1EEBACA4" w:rsidR="00444C42" w:rsidRDefault="00444C42" w:rsidP="00392090">
            <w:pPr>
              <w:pStyle w:val="ListParagraph"/>
              <w:numPr>
                <w:ilvl w:val="0"/>
                <w:numId w:val="9"/>
              </w:numPr>
            </w:pPr>
            <w:r>
              <w:t xml:space="preserve">Use of text messaging, large print </w:t>
            </w:r>
            <w:r w:rsidR="00392090">
              <w:t>letters and information.</w:t>
            </w:r>
          </w:p>
          <w:p w14:paraId="100FE961" w14:textId="77777777" w:rsidR="00392090" w:rsidRPr="00B454A1" w:rsidRDefault="00392090" w:rsidP="0039209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Comments on NHS Choices and practice response.</w:t>
            </w:r>
          </w:p>
          <w:p w14:paraId="4D78D906" w14:textId="77777777" w:rsidR="00392090" w:rsidRDefault="00392090" w:rsidP="00392090">
            <w:pPr>
              <w:pStyle w:val="ListParagraph"/>
              <w:numPr>
                <w:ilvl w:val="0"/>
                <w:numId w:val="9"/>
              </w:numPr>
            </w:pPr>
            <w:r>
              <w:t>CQC discussions with patients and patient questionnaires.</w:t>
            </w:r>
          </w:p>
          <w:p w14:paraId="7646AAB5" w14:textId="3FC2600D" w:rsidR="00392090" w:rsidRDefault="00392090" w:rsidP="00392090">
            <w:pPr>
              <w:pStyle w:val="ListParagraph"/>
              <w:numPr>
                <w:ilvl w:val="0"/>
                <w:numId w:val="9"/>
              </w:numPr>
            </w:pPr>
            <w:r>
              <w:t>CQC discussions with staff &amp; CQC staff questionnaires.</w:t>
            </w:r>
          </w:p>
          <w:p w14:paraId="5A526050" w14:textId="75CD475A" w:rsidR="00392090" w:rsidRDefault="00392090" w:rsidP="00037931"/>
        </w:tc>
      </w:tr>
      <w:tr w:rsidR="00374397" w14:paraId="4B4EF85F" w14:textId="77777777" w:rsidTr="00037931">
        <w:tc>
          <w:tcPr>
            <w:tcW w:w="5665" w:type="dxa"/>
          </w:tcPr>
          <w:p w14:paraId="2F7C28E0" w14:textId="09479569" w:rsidR="00374397" w:rsidRDefault="00374397" w:rsidP="00037931">
            <w:r>
              <w:t>Patients with urgent needs had their care prioritised.</w:t>
            </w:r>
          </w:p>
        </w:tc>
        <w:tc>
          <w:tcPr>
            <w:tcW w:w="2410" w:type="dxa"/>
          </w:tcPr>
          <w:p w14:paraId="4938D6EE" w14:textId="29F45578" w:rsidR="00374397" w:rsidRDefault="0003377A" w:rsidP="00037931">
            <w:r>
              <w:t>R3.4</w:t>
            </w:r>
          </w:p>
        </w:tc>
        <w:tc>
          <w:tcPr>
            <w:tcW w:w="7313" w:type="dxa"/>
          </w:tcPr>
          <w:p w14:paraId="163FBDBD" w14:textId="2715179F" w:rsidR="00374397" w:rsidRDefault="00C06555" w:rsidP="00741858">
            <w:pPr>
              <w:pStyle w:val="ListParagraph"/>
              <w:numPr>
                <w:ilvl w:val="0"/>
                <w:numId w:val="10"/>
              </w:numPr>
            </w:pPr>
            <w:r>
              <w:t xml:space="preserve">Appointment schedule showing urgent slots available throughout the day for patients with urgent needs. </w:t>
            </w:r>
          </w:p>
          <w:p w14:paraId="6F37EB60" w14:textId="0F024C14" w:rsidR="007D146C" w:rsidRDefault="007D146C" w:rsidP="00741858">
            <w:pPr>
              <w:pStyle w:val="ListParagraph"/>
              <w:numPr>
                <w:ilvl w:val="0"/>
                <w:numId w:val="10"/>
              </w:numPr>
            </w:pPr>
            <w:r>
              <w:t xml:space="preserve">Telephone Triage Tool for Reception Staff </w:t>
            </w:r>
            <w:r>
              <w:t>–</w:t>
            </w:r>
            <w:r>
              <w:t xml:space="preserve"> </w:t>
            </w:r>
            <w:r>
              <w:t>see triage tool on responsive page on CLMC website.</w:t>
            </w:r>
          </w:p>
          <w:p w14:paraId="11495919" w14:textId="77777777" w:rsidR="00741858" w:rsidRPr="008D268B" w:rsidRDefault="00741858" w:rsidP="0074185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hyperlink r:id="rId20" w:history="1">
              <w:r>
                <w:rPr>
                  <w:rStyle w:val="Hyperlink"/>
                </w:rPr>
                <w:t>GP mythbuster 88: Sepsis | Care Quality Commission (cqc.org.uk)</w:t>
              </w:r>
            </w:hyperlink>
          </w:p>
          <w:p w14:paraId="265EC5FE" w14:textId="77777777" w:rsidR="00FA7B60" w:rsidRPr="00B454A1" w:rsidRDefault="00FA7B60" w:rsidP="0074185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Comments on NHS Choices and practice response.</w:t>
            </w:r>
          </w:p>
          <w:p w14:paraId="1CDE5BF2" w14:textId="77777777" w:rsidR="00FA7B60" w:rsidRDefault="00FA7B60" w:rsidP="00741858">
            <w:pPr>
              <w:pStyle w:val="ListParagraph"/>
              <w:numPr>
                <w:ilvl w:val="0"/>
                <w:numId w:val="10"/>
              </w:numPr>
            </w:pPr>
            <w:r>
              <w:t>CQC discussions with patients and patient questionnaires.</w:t>
            </w:r>
          </w:p>
          <w:p w14:paraId="197A0F02" w14:textId="6B21035B" w:rsidR="00FA7B60" w:rsidRDefault="00FA7B60" w:rsidP="00741858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CQC discussions with staff &amp; CQC staff questionnaires.</w:t>
            </w:r>
          </w:p>
          <w:p w14:paraId="249A377A" w14:textId="3F896DA2" w:rsidR="00FA7B60" w:rsidRDefault="00FA7B60" w:rsidP="007D146C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374397" w14:paraId="2328DFBB" w14:textId="77777777" w:rsidTr="00037931">
        <w:tc>
          <w:tcPr>
            <w:tcW w:w="5665" w:type="dxa"/>
          </w:tcPr>
          <w:p w14:paraId="4BC98A11" w14:textId="2AB9BACE" w:rsidR="00374397" w:rsidRDefault="00374397" w:rsidP="00037931">
            <w:r>
              <w:lastRenderedPageBreak/>
              <w:t>The practice had systems to ensure patients were directed to the most appropriate person to respond to their immediate needs.</w:t>
            </w:r>
          </w:p>
        </w:tc>
        <w:tc>
          <w:tcPr>
            <w:tcW w:w="2410" w:type="dxa"/>
          </w:tcPr>
          <w:p w14:paraId="0DC29CC6" w14:textId="52F8855A" w:rsidR="00374397" w:rsidRDefault="0003377A" w:rsidP="00037931">
            <w:r>
              <w:t>R3.1</w:t>
            </w:r>
          </w:p>
        </w:tc>
        <w:tc>
          <w:tcPr>
            <w:tcW w:w="7313" w:type="dxa"/>
          </w:tcPr>
          <w:p w14:paraId="31B27586" w14:textId="77777777" w:rsidR="00C06555" w:rsidRDefault="00C06555" w:rsidP="00FA7B60">
            <w:pPr>
              <w:pStyle w:val="ListParagraph"/>
              <w:numPr>
                <w:ilvl w:val="0"/>
                <w:numId w:val="10"/>
              </w:numPr>
            </w:pPr>
            <w:r>
              <w:t xml:space="preserve">Procedures/flowcharts for receptionists to support them in directing patients to appropriate care within required timeframes. </w:t>
            </w:r>
          </w:p>
          <w:p w14:paraId="2F98F6D1" w14:textId="77777777" w:rsidR="00FA7B60" w:rsidRPr="00B454A1" w:rsidRDefault="00FA7B60" w:rsidP="00FA7B6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B454A1">
              <w:rPr>
                <w:rFonts w:cstheme="minorHAnsi"/>
              </w:rPr>
              <w:t>Comments on NHS Choices and practice response.</w:t>
            </w:r>
          </w:p>
          <w:p w14:paraId="1A4182E0" w14:textId="77777777" w:rsidR="00FA7B60" w:rsidRDefault="00FA7B60" w:rsidP="00FA7B60">
            <w:pPr>
              <w:pStyle w:val="ListParagraph"/>
              <w:numPr>
                <w:ilvl w:val="0"/>
                <w:numId w:val="10"/>
              </w:numPr>
            </w:pPr>
            <w:r>
              <w:t>CQC discussions with patients and patient questionnaires.</w:t>
            </w:r>
          </w:p>
          <w:p w14:paraId="5E4681C5" w14:textId="77777777" w:rsidR="00FA7B60" w:rsidRDefault="00FA7B60" w:rsidP="00FA7B60">
            <w:pPr>
              <w:pStyle w:val="ListParagraph"/>
              <w:numPr>
                <w:ilvl w:val="0"/>
                <w:numId w:val="10"/>
              </w:numPr>
            </w:pPr>
            <w:r>
              <w:t>CQC discussions with staff &amp; CQC staff questionnaires.</w:t>
            </w:r>
          </w:p>
          <w:p w14:paraId="7E050F4C" w14:textId="7A9E8D20" w:rsidR="00374397" w:rsidRDefault="00374397" w:rsidP="00FA7B60">
            <w:pPr>
              <w:pStyle w:val="ListParagraph"/>
            </w:pPr>
          </w:p>
        </w:tc>
      </w:tr>
    </w:tbl>
    <w:p w14:paraId="785B8627" w14:textId="64FB6F81" w:rsidR="00374397" w:rsidRDefault="00374397" w:rsidP="000731A8">
      <w:pPr>
        <w:spacing w:after="0"/>
      </w:pPr>
    </w:p>
    <w:p w14:paraId="1CF19DCE" w14:textId="3377D942" w:rsidR="00374397" w:rsidRPr="00374397" w:rsidRDefault="00374397" w:rsidP="00374397">
      <w:pPr>
        <w:rPr>
          <w:b/>
          <w:bCs/>
          <w:sz w:val="28"/>
          <w:szCs w:val="28"/>
        </w:rPr>
      </w:pPr>
      <w:r w:rsidRPr="00374397">
        <w:rPr>
          <w:b/>
          <w:bCs/>
          <w:sz w:val="28"/>
          <w:szCs w:val="28"/>
        </w:rPr>
        <w:t>Listening and learning from concerns and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410"/>
        <w:gridCol w:w="7313"/>
      </w:tblGrid>
      <w:tr w:rsidR="00374397" w:rsidRPr="00D10B09" w14:paraId="12CA1A07" w14:textId="77777777" w:rsidTr="00037931">
        <w:tc>
          <w:tcPr>
            <w:tcW w:w="15388" w:type="dxa"/>
            <w:gridSpan w:val="3"/>
          </w:tcPr>
          <w:p w14:paraId="405EE027" w14:textId="1BA376EB" w:rsidR="00374397" w:rsidRPr="00D10B09" w:rsidRDefault="00374397" w:rsidP="00037931">
            <w:pPr>
              <w:rPr>
                <w:b/>
                <w:bCs/>
              </w:rPr>
            </w:pPr>
            <w:r>
              <w:t>C</w:t>
            </w:r>
            <w:r w:rsidRPr="00374397">
              <w:rPr>
                <w:b/>
                <w:bCs/>
              </w:rPr>
              <w:t>omplaints were listened and responded to and used to improve the quality of care, however there was the potential for underreporting of complaints.</w:t>
            </w:r>
          </w:p>
        </w:tc>
      </w:tr>
      <w:tr w:rsidR="00374397" w14:paraId="7B05D4CF" w14:textId="77777777" w:rsidTr="00037931">
        <w:tc>
          <w:tcPr>
            <w:tcW w:w="5665" w:type="dxa"/>
          </w:tcPr>
          <w:p w14:paraId="6E553A8F" w14:textId="77777777" w:rsidR="00374397" w:rsidRDefault="00374397" w:rsidP="00037931">
            <w:r w:rsidRPr="00F64DDB">
              <w:rPr>
                <w:b/>
                <w:bCs/>
              </w:rPr>
              <w:t>Evidence Table Question</w:t>
            </w:r>
            <w:r>
              <w:rPr>
                <w:b/>
                <w:bCs/>
              </w:rPr>
              <w:t>s</w:t>
            </w:r>
          </w:p>
        </w:tc>
        <w:tc>
          <w:tcPr>
            <w:tcW w:w="2410" w:type="dxa"/>
          </w:tcPr>
          <w:p w14:paraId="56B46CBE" w14:textId="77777777" w:rsidR="00374397" w:rsidRDefault="00374397" w:rsidP="00037931">
            <w:r>
              <w:rPr>
                <w:b/>
                <w:bCs/>
              </w:rPr>
              <w:t xml:space="preserve">Link to </w:t>
            </w:r>
            <w:r w:rsidRPr="00F64DDB">
              <w:rPr>
                <w:b/>
                <w:bCs/>
              </w:rPr>
              <w:t>Key line of enquiry/prompt</w:t>
            </w:r>
            <w:r>
              <w:rPr>
                <w:b/>
                <w:bCs/>
              </w:rPr>
              <w:t xml:space="preserve"> in assessment framework</w:t>
            </w:r>
          </w:p>
        </w:tc>
        <w:tc>
          <w:tcPr>
            <w:tcW w:w="7313" w:type="dxa"/>
          </w:tcPr>
          <w:p w14:paraId="62BCAB55" w14:textId="77777777" w:rsidR="00374397" w:rsidRDefault="00374397" w:rsidP="00037931">
            <w:r w:rsidRPr="00F64DDB">
              <w:rPr>
                <w:b/>
                <w:bCs/>
              </w:rPr>
              <w:t xml:space="preserve">Examples of </w:t>
            </w:r>
            <w:r>
              <w:rPr>
                <w:b/>
                <w:bCs/>
              </w:rPr>
              <w:t>E</w:t>
            </w:r>
            <w:r w:rsidRPr="00F64DDB">
              <w:rPr>
                <w:b/>
                <w:bCs/>
              </w:rPr>
              <w:t>vidence</w:t>
            </w:r>
            <w:r>
              <w:rPr>
                <w:b/>
                <w:bCs/>
              </w:rPr>
              <w:t xml:space="preserve"> Required &amp; Links to Resources</w:t>
            </w:r>
          </w:p>
        </w:tc>
      </w:tr>
      <w:tr w:rsidR="00374397" w14:paraId="5C1E3DF0" w14:textId="77777777" w:rsidTr="00037931">
        <w:tc>
          <w:tcPr>
            <w:tcW w:w="5665" w:type="dxa"/>
          </w:tcPr>
          <w:p w14:paraId="29C20FD9" w14:textId="5D5D01CB" w:rsidR="00374397" w:rsidRDefault="00374397" w:rsidP="00037931">
            <w:r>
              <w:t>Number of complaints received in the last year.</w:t>
            </w:r>
          </w:p>
        </w:tc>
        <w:tc>
          <w:tcPr>
            <w:tcW w:w="2410" w:type="dxa"/>
          </w:tcPr>
          <w:p w14:paraId="14E6BB0C" w14:textId="77777777" w:rsidR="00374397" w:rsidRDefault="00374397" w:rsidP="00037931"/>
        </w:tc>
        <w:tc>
          <w:tcPr>
            <w:tcW w:w="7313" w:type="dxa"/>
          </w:tcPr>
          <w:p w14:paraId="72A26C36" w14:textId="756C0F1F" w:rsidR="00374397" w:rsidRDefault="00F62FAC" w:rsidP="00F62FAC">
            <w:pPr>
              <w:pStyle w:val="ListParagraph"/>
              <w:numPr>
                <w:ilvl w:val="0"/>
                <w:numId w:val="11"/>
              </w:numPr>
            </w:pPr>
            <w:r>
              <w:t>Complaint's log.</w:t>
            </w:r>
          </w:p>
        </w:tc>
      </w:tr>
      <w:tr w:rsidR="00374397" w14:paraId="0FE6E39A" w14:textId="77777777" w:rsidTr="00037931">
        <w:tc>
          <w:tcPr>
            <w:tcW w:w="5665" w:type="dxa"/>
          </w:tcPr>
          <w:p w14:paraId="0F3B16CD" w14:textId="1498BDE3" w:rsidR="00374397" w:rsidRDefault="009C1C47" w:rsidP="00037931">
            <w:r>
              <w:t>Number of complaints we examined that were satisfactorily handled in a timely way.</w:t>
            </w:r>
          </w:p>
        </w:tc>
        <w:tc>
          <w:tcPr>
            <w:tcW w:w="2410" w:type="dxa"/>
          </w:tcPr>
          <w:p w14:paraId="68E67E8D" w14:textId="77777777" w:rsidR="00374397" w:rsidRDefault="00374397" w:rsidP="00037931"/>
        </w:tc>
        <w:tc>
          <w:tcPr>
            <w:tcW w:w="7313" w:type="dxa"/>
          </w:tcPr>
          <w:p w14:paraId="0A5B2AA4" w14:textId="77777777" w:rsidR="00F62FAC" w:rsidRDefault="00F62FAC" w:rsidP="00F62FAC">
            <w:pPr>
              <w:pStyle w:val="ListParagraph"/>
              <w:numPr>
                <w:ilvl w:val="0"/>
                <w:numId w:val="5"/>
              </w:numPr>
            </w:pPr>
            <w:r>
              <w:t>Complaint log (including verbal complaints/concerns).</w:t>
            </w:r>
          </w:p>
          <w:p w14:paraId="667F7F89" w14:textId="77777777" w:rsidR="00F62FAC" w:rsidRDefault="00F62FAC" w:rsidP="00F62FAC">
            <w:pPr>
              <w:pStyle w:val="ListParagraph"/>
              <w:numPr>
                <w:ilvl w:val="0"/>
                <w:numId w:val="5"/>
              </w:numPr>
            </w:pPr>
            <w:r>
              <w:t>Examples of complaints received, investigation completed, and response sent to patient.</w:t>
            </w:r>
          </w:p>
          <w:p w14:paraId="6D91DD62" w14:textId="77777777" w:rsidR="00374397" w:rsidRDefault="00374397" w:rsidP="00037931"/>
        </w:tc>
      </w:tr>
      <w:tr w:rsidR="00374397" w14:paraId="06F23B75" w14:textId="77777777" w:rsidTr="00037931">
        <w:tc>
          <w:tcPr>
            <w:tcW w:w="5665" w:type="dxa"/>
          </w:tcPr>
          <w:p w14:paraId="27B64D1C" w14:textId="05AB7CD9" w:rsidR="00374397" w:rsidRDefault="009C1C47" w:rsidP="00037931">
            <w:r>
              <w:t>Number of complaints referred to the Parliamentary and Health Service Ombudsman.</w:t>
            </w:r>
          </w:p>
        </w:tc>
        <w:tc>
          <w:tcPr>
            <w:tcW w:w="2410" w:type="dxa"/>
          </w:tcPr>
          <w:p w14:paraId="17B8ED90" w14:textId="77777777" w:rsidR="00374397" w:rsidRDefault="00374397" w:rsidP="00037931"/>
        </w:tc>
        <w:tc>
          <w:tcPr>
            <w:tcW w:w="7313" w:type="dxa"/>
          </w:tcPr>
          <w:p w14:paraId="2C7E5E3E" w14:textId="7D7A8BE7" w:rsidR="00374397" w:rsidRDefault="00F62FAC" w:rsidP="00F62FAC">
            <w:pPr>
              <w:pStyle w:val="ListParagraph"/>
              <w:numPr>
                <w:ilvl w:val="0"/>
                <w:numId w:val="12"/>
              </w:numPr>
            </w:pPr>
            <w:r>
              <w:t>Records of complaints.</w:t>
            </w:r>
          </w:p>
        </w:tc>
      </w:tr>
      <w:tr w:rsidR="009C1C47" w14:paraId="295B9847" w14:textId="77777777" w:rsidTr="00037931">
        <w:tc>
          <w:tcPr>
            <w:tcW w:w="5665" w:type="dxa"/>
          </w:tcPr>
          <w:p w14:paraId="5F90A375" w14:textId="2DB733DF" w:rsidR="009C1C47" w:rsidRDefault="009C1C47" w:rsidP="00037931">
            <w:r>
              <w:t>Information about how to complain was readily available.</w:t>
            </w:r>
          </w:p>
        </w:tc>
        <w:tc>
          <w:tcPr>
            <w:tcW w:w="2410" w:type="dxa"/>
          </w:tcPr>
          <w:p w14:paraId="2945BA3A" w14:textId="77777777" w:rsidR="009C1C47" w:rsidRDefault="00F20E7D" w:rsidP="00037931">
            <w:r>
              <w:t>R4.1</w:t>
            </w:r>
          </w:p>
          <w:p w14:paraId="4ADBAFBF" w14:textId="65B468C0" w:rsidR="00F20E7D" w:rsidRDefault="00F20E7D" w:rsidP="00037931">
            <w:r>
              <w:t>R4.2</w:t>
            </w:r>
          </w:p>
        </w:tc>
        <w:tc>
          <w:tcPr>
            <w:tcW w:w="7313" w:type="dxa"/>
          </w:tcPr>
          <w:p w14:paraId="4F9D656F" w14:textId="77777777" w:rsidR="009C1C47" w:rsidRDefault="005249C5" w:rsidP="005249C5">
            <w:pPr>
              <w:pStyle w:val="ListParagraph"/>
              <w:numPr>
                <w:ilvl w:val="0"/>
                <w:numId w:val="4"/>
              </w:numPr>
            </w:pPr>
            <w:r>
              <w:t>Practice complaints leaflets freely available in waiting area and on practice website.</w:t>
            </w:r>
          </w:p>
          <w:p w14:paraId="2329BCD5" w14:textId="77777777" w:rsidR="005249C5" w:rsidRDefault="005249C5" w:rsidP="005249C5">
            <w:pPr>
              <w:pStyle w:val="ListParagraph"/>
              <w:numPr>
                <w:ilvl w:val="0"/>
                <w:numId w:val="2"/>
              </w:numPr>
            </w:pPr>
            <w:r>
              <w:t>CQC discussions with patients and patient questionnaires.</w:t>
            </w:r>
          </w:p>
          <w:p w14:paraId="133E0409" w14:textId="77777777" w:rsidR="005249C5" w:rsidRDefault="005249C5" w:rsidP="005249C5">
            <w:pPr>
              <w:pStyle w:val="ListParagraph"/>
              <w:numPr>
                <w:ilvl w:val="0"/>
                <w:numId w:val="2"/>
              </w:numPr>
            </w:pPr>
            <w:r>
              <w:t>CQC discussions with staff &amp; CQC staff questionnaires.</w:t>
            </w:r>
          </w:p>
          <w:p w14:paraId="68F20FF8" w14:textId="78BEED2A" w:rsidR="005249C5" w:rsidRDefault="005249C5" w:rsidP="00037931"/>
        </w:tc>
      </w:tr>
      <w:tr w:rsidR="009C1C47" w14:paraId="343096FF" w14:textId="77777777" w:rsidTr="00037931">
        <w:tc>
          <w:tcPr>
            <w:tcW w:w="5665" w:type="dxa"/>
          </w:tcPr>
          <w:p w14:paraId="73D0F018" w14:textId="441FEFF1" w:rsidR="009C1C47" w:rsidRDefault="009C1C47" w:rsidP="00037931">
            <w:r>
              <w:t>There was evidence that complaints were used to drive continuous improvement.</w:t>
            </w:r>
          </w:p>
        </w:tc>
        <w:tc>
          <w:tcPr>
            <w:tcW w:w="2410" w:type="dxa"/>
          </w:tcPr>
          <w:p w14:paraId="71C74A23" w14:textId="77777777" w:rsidR="009C1C47" w:rsidRDefault="00F20E7D" w:rsidP="00037931">
            <w:r>
              <w:t>R4.3</w:t>
            </w:r>
          </w:p>
          <w:p w14:paraId="17E2F308" w14:textId="77777777" w:rsidR="00F20E7D" w:rsidRDefault="00F20E7D" w:rsidP="00037931">
            <w:r>
              <w:t>R.4.4</w:t>
            </w:r>
          </w:p>
          <w:p w14:paraId="3197C181" w14:textId="6C217E79" w:rsidR="00F20E7D" w:rsidRDefault="00F20E7D" w:rsidP="00037931">
            <w:r>
              <w:t>R4.5</w:t>
            </w:r>
          </w:p>
        </w:tc>
        <w:tc>
          <w:tcPr>
            <w:tcW w:w="7313" w:type="dxa"/>
          </w:tcPr>
          <w:p w14:paraId="520FF5F8" w14:textId="5FB65383" w:rsidR="009C1C47" w:rsidRDefault="006C01D4" w:rsidP="005C4095">
            <w:pPr>
              <w:pStyle w:val="ListParagraph"/>
              <w:numPr>
                <w:ilvl w:val="0"/>
                <w:numId w:val="5"/>
              </w:numPr>
            </w:pPr>
            <w:r>
              <w:t>Complaint policy.</w:t>
            </w:r>
          </w:p>
          <w:p w14:paraId="1CD1BC89" w14:textId="70AEA9C5" w:rsidR="006C01D4" w:rsidRDefault="006C01D4" w:rsidP="005C4095">
            <w:pPr>
              <w:pStyle w:val="ListParagraph"/>
              <w:numPr>
                <w:ilvl w:val="0"/>
                <w:numId w:val="5"/>
              </w:numPr>
            </w:pPr>
            <w:r>
              <w:t>Complaint log</w:t>
            </w:r>
            <w:r w:rsidR="006F2357">
              <w:t xml:space="preserve"> (including verbal complaints/concerns)</w:t>
            </w:r>
            <w:r>
              <w:t>.</w:t>
            </w:r>
          </w:p>
          <w:p w14:paraId="739CF788" w14:textId="6881238F" w:rsidR="006C01D4" w:rsidRDefault="006C01D4" w:rsidP="005C4095">
            <w:pPr>
              <w:pStyle w:val="ListParagraph"/>
              <w:numPr>
                <w:ilvl w:val="0"/>
                <w:numId w:val="5"/>
              </w:numPr>
            </w:pPr>
            <w:r>
              <w:t>Examples of complaints received, investigation completed, and response sent to patient.</w:t>
            </w:r>
          </w:p>
          <w:p w14:paraId="3D3E2454" w14:textId="56ED56A1" w:rsidR="005C4095" w:rsidRDefault="005C4095" w:rsidP="005C4095">
            <w:pPr>
              <w:pStyle w:val="ListParagraph"/>
              <w:numPr>
                <w:ilvl w:val="0"/>
                <w:numId w:val="5"/>
              </w:numPr>
            </w:pPr>
            <w:r>
              <w:t>Meeting minutes where complaints were discussed, improvement actions identified, and lessons learned shared.</w:t>
            </w:r>
          </w:p>
          <w:p w14:paraId="6A213FE5" w14:textId="49A9980C" w:rsidR="00DC1D83" w:rsidRDefault="007874DB" w:rsidP="005C4095">
            <w:pPr>
              <w:pStyle w:val="ListParagraph"/>
              <w:numPr>
                <w:ilvl w:val="0"/>
                <w:numId w:val="5"/>
              </w:numPr>
            </w:pPr>
            <w:hyperlink r:id="rId21" w:history="1">
              <w:r w:rsidR="00DC1D83">
                <w:rPr>
                  <w:rStyle w:val="Hyperlink"/>
                </w:rPr>
                <w:t>GP mythbuster 103: Complaints management | CQC Public Website</w:t>
              </w:r>
            </w:hyperlink>
          </w:p>
          <w:p w14:paraId="0EDF7A32" w14:textId="77777777" w:rsidR="005C4095" w:rsidRDefault="005C4095" w:rsidP="005C4095">
            <w:pPr>
              <w:pStyle w:val="ListParagraph"/>
              <w:numPr>
                <w:ilvl w:val="0"/>
                <w:numId w:val="2"/>
              </w:numPr>
            </w:pPr>
            <w:r>
              <w:t>CQC discussions with patients and patient questionnaires.</w:t>
            </w:r>
          </w:p>
          <w:p w14:paraId="2E5F781A" w14:textId="77777777" w:rsidR="005C4095" w:rsidRDefault="005C4095" w:rsidP="005C4095">
            <w:pPr>
              <w:pStyle w:val="ListParagraph"/>
              <w:numPr>
                <w:ilvl w:val="0"/>
                <w:numId w:val="2"/>
              </w:numPr>
            </w:pPr>
            <w:r>
              <w:t>CQC discussions with staff &amp; CQC staff questionnaires.</w:t>
            </w:r>
          </w:p>
          <w:p w14:paraId="68EF62DF" w14:textId="77777777" w:rsidR="005C4095" w:rsidRDefault="005C4095" w:rsidP="00037931"/>
          <w:p w14:paraId="25E74436" w14:textId="3E9EF800" w:rsidR="006C01D4" w:rsidRDefault="006C01D4" w:rsidP="00037931"/>
        </w:tc>
      </w:tr>
    </w:tbl>
    <w:p w14:paraId="2EA66434" w14:textId="77777777" w:rsidR="00374397" w:rsidRPr="00374397" w:rsidRDefault="00374397" w:rsidP="00374397"/>
    <w:sectPr w:rsidR="00374397" w:rsidRPr="00374397" w:rsidSect="00BC13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C86"/>
    <w:multiLevelType w:val="hybridMultilevel"/>
    <w:tmpl w:val="D12C2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F5802"/>
    <w:multiLevelType w:val="hybridMultilevel"/>
    <w:tmpl w:val="224C2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81F4A"/>
    <w:multiLevelType w:val="hybridMultilevel"/>
    <w:tmpl w:val="22EC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760B1"/>
    <w:multiLevelType w:val="hybridMultilevel"/>
    <w:tmpl w:val="67768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55BB"/>
    <w:multiLevelType w:val="hybridMultilevel"/>
    <w:tmpl w:val="82160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C64A4"/>
    <w:multiLevelType w:val="hybridMultilevel"/>
    <w:tmpl w:val="810E8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810D4"/>
    <w:multiLevelType w:val="hybridMultilevel"/>
    <w:tmpl w:val="9C2A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83B78"/>
    <w:multiLevelType w:val="hybridMultilevel"/>
    <w:tmpl w:val="CCC4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43700"/>
    <w:multiLevelType w:val="hybridMultilevel"/>
    <w:tmpl w:val="8F925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310A2"/>
    <w:multiLevelType w:val="hybridMultilevel"/>
    <w:tmpl w:val="7EEED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40B94"/>
    <w:multiLevelType w:val="hybridMultilevel"/>
    <w:tmpl w:val="70F02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C17EF"/>
    <w:multiLevelType w:val="hybridMultilevel"/>
    <w:tmpl w:val="43C68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237B8"/>
    <w:multiLevelType w:val="hybridMultilevel"/>
    <w:tmpl w:val="0914B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EE"/>
    <w:rsid w:val="0003377A"/>
    <w:rsid w:val="000731A8"/>
    <w:rsid w:val="00094564"/>
    <w:rsid w:val="000D5271"/>
    <w:rsid w:val="00107AA3"/>
    <w:rsid w:val="00120C8E"/>
    <w:rsid w:val="002835DF"/>
    <w:rsid w:val="00355547"/>
    <w:rsid w:val="00374397"/>
    <w:rsid w:val="00392090"/>
    <w:rsid w:val="00444C42"/>
    <w:rsid w:val="00451355"/>
    <w:rsid w:val="005249C5"/>
    <w:rsid w:val="005C2E1A"/>
    <w:rsid w:val="005C4095"/>
    <w:rsid w:val="006B0BFA"/>
    <w:rsid w:val="006C01D4"/>
    <w:rsid w:val="006E2BC5"/>
    <w:rsid w:val="006E44A3"/>
    <w:rsid w:val="006F2357"/>
    <w:rsid w:val="00741858"/>
    <w:rsid w:val="00742E18"/>
    <w:rsid w:val="007874DB"/>
    <w:rsid w:val="007D146C"/>
    <w:rsid w:val="009C1C47"/>
    <w:rsid w:val="009D688F"/>
    <w:rsid w:val="00A16D6B"/>
    <w:rsid w:val="00A54105"/>
    <w:rsid w:val="00AA2F5F"/>
    <w:rsid w:val="00AC1832"/>
    <w:rsid w:val="00AD6DEA"/>
    <w:rsid w:val="00B56317"/>
    <w:rsid w:val="00BC13EE"/>
    <w:rsid w:val="00BC3563"/>
    <w:rsid w:val="00C06555"/>
    <w:rsid w:val="00C15E17"/>
    <w:rsid w:val="00C44EAB"/>
    <w:rsid w:val="00C7143F"/>
    <w:rsid w:val="00D14595"/>
    <w:rsid w:val="00DC0A16"/>
    <w:rsid w:val="00DC1D83"/>
    <w:rsid w:val="00DE74B5"/>
    <w:rsid w:val="00EB6F42"/>
    <w:rsid w:val="00F20E7D"/>
    <w:rsid w:val="00F62FAC"/>
    <w:rsid w:val="00F97916"/>
    <w:rsid w:val="00FA7B60"/>
    <w:rsid w:val="00FC3B64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01BE"/>
  <w15:chartTrackingRefBased/>
  <w15:docId w15:val="{8C197809-3CC3-4280-B895-ECBFDCF6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743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qc.org.uk/guidance-providers/gps/gp-mythbuster-53-care-people-learning-disability-gp-practices" TargetMode="External"/><Relationship Id="rId13" Type="http://schemas.openxmlformats.org/officeDocument/2006/relationships/hyperlink" Target="https://www.cqc.org.uk/guidance-providers/gps/gp-mythbuster-67-reasonable-adjustments-disabled-people" TargetMode="External"/><Relationship Id="rId18" Type="http://schemas.openxmlformats.org/officeDocument/2006/relationships/hyperlink" Target="https://www.cqc.org.uk/guidance-providers/gps/gp-mythbuster-55-opening-hour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qc.org.uk/guidance-providers/gps/gp-mythbuster-103-complaints-management" TargetMode="External"/><Relationship Id="rId7" Type="http://schemas.openxmlformats.org/officeDocument/2006/relationships/hyperlink" Target="https://www.cqc.org.uk/guidance-providers/gps/gp-mythbuster-93-caring-veterans-their-families" TargetMode="External"/><Relationship Id="rId12" Type="http://schemas.openxmlformats.org/officeDocument/2006/relationships/hyperlink" Target="https://www.cqc.org.uk/guidance-providers/gps/gp-mythbuster-38-care-advanced-serious-illness-end-life" TargetMode="External"/><Relationship Id="rId17" Type="http://schemas.openxmlformats.org/officeDocument/2006/relationships/hyperlink" Target="https://www.cqc.org.uk/guidance-providers/gps/gp-mythbuster-77-access-appointments-staff-compete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qc.org.uk/guidance-providers/gps/gp-mythbuster-20-making-information-accessible" TargetMode="External"/><Relationship Id="rId20" Type="http://schemas.openxmlformats.org/officeDocument/2006/relationships/hyperlink" Target="https://www.cqc.org.uk/guidance-providers/gps/gp-mythbuster-88-seps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qc.org.uk/guidance-providers/gps/gp-mythbuster-90-population-groups" TargetMode="External"/><Relationship Id="rId11" Type="http://schemas.openxmlformats.org/officeDocument/2006/relationships/hyperlink" Target="https://www.cqc.org.uk/guidance-providers/gps/gp-mythbuster-29-looking-after-homeless-patients-general-practice" TargetMode="External"/><Relationship Id="rId5" Type="http://schemas.openxmlformats.org/officeDocument/2006/relationships/hyperlink" Target="https://www.cqc.org.uk/sites/default/files/20180628%20Healthcare%20services%20KLOEs%20prompts%20and%20characteristics%20FINAL.pdf" TargetMode="External"/><Relationship Id="rId15" Type="http://schemas.openxmlformats.org/officeDocument/2006/relationships/hyperlink" Target="https://www.cqc.org.uk/guidance-providers/gps/gp-mythbuster-61-patient-registrat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qc.org.uk/guidance-providers/gps/gp-mythbuster-36-registration-treatment-asylum-seekers-refugees-other" TargetMode="External"/><Relationship Id="rId19" Type="http://schemas.openxmlformats.org/officeDocument/2006/relationships/hyperlink" Target="https://www.cqc.org.uk/guidance-providers/gps/gp-mythbuster-67-reasonable-adjustments-disabled-peop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qc.org.uk/guidance-providers/gps/gp-mythbuster-42-caring-people-dementia" TargetMode="External"/><Relationship Id="rId14" Type="http://schemas.openxmlformats.org/officeDocument/2006/relationships/hyperlink" Target="https://www.cqc.org.uk/guidance-providers/gps/gp-mythbuster-77-access-appointments-staff-competen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Michelle (NHS TEES VALLEY CCG)</dc:creator>
  <cp:keywords/>
  <dc:description/>
  <cp:lastModifiedBy>MARTIN, Michelle (NHS TEES VALLEY CCG)</cp:lastModifiedBy>
  <cp:revision>34</cp:revision>
  <dcterms:created xsi:type="dcterms:W3CDTF">2022-01-12T09:11:00Z</dcterms:created>
  <dcterms:modified xsi:type="dcterms:W3CDTF">2022-06-14T10:47:00Z</dcterms:modified>
</cp:coreProperties>
</file>